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82" w:rsidRDefault="008E2C82" w:rsidP="008E2C82">
      <w:pPr>
        <w:pStyle w:val="Heading1"/>
        <w:numPr>
          <w:ilvl w:val="0"/>
          <w:numId w:val="0"/>
        </w:numPr>
        <w:rPr>
          <w:rFonts w:eastAsiaTheme="minorHAnsi"/>
        </w:rPr>
      </w:pPr>
      <w:bookmarkStart w:id="0" w:name="_Ref307583109"/>
      <w:r>
        <w:rPr>
          <w:rFonts w:eastAsiaTheme="minorHAnsi"/>
        </w:rPr>
        <w:t>Appendix A-7</w:t>
      </w:r>
      <w:bookmarkEnd w:id="0"/>
    </w:p>
    <w:p w:rsidR="008E2C82" w:rsidRDefault="008E2C82" w:rsidP="008E2C82">
      <w:pPr>
        <w:pStyle w:val="Heading1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>Residential Appliances</w:t>
      </w:r>
    </w:p>
    <w:p w:rsidR="005F445B" w:rsidRPr="005F445B" w:rsidRDefault="008E2C82" w:rsidP="008E2C82">
      <w:pPr>
        <w:pStyle w:val="Caption"/>
        <w:rPr>
          <w:rFonts w:eastAsiaTheme="minorHAnsi"/>
          <w:b w:val="0"/>
        </w:rPr>
      </w:pPr>
      <w:r>
        <w:t>Table A-7-</w:t>
      </w:r>
      <w:fldSimple w:instr=" SEQ Table \* ARABIC ">
        <w:r>
          <w:rPr>
            <w:noProof/>
          </w:rPr>
          <w:t>1</w:t>
        </w:r>
      </w:fldSimple>
      <w:r>
        <w:t>: O</w:t>
      </w:r>
      <w:r w:rsidR="001A749A" w:rsidRPr="009A749A">
        <w:rPr>
          <w:rFonts w:eastAsiaTheme="minorHAnsi"/>
        </w:rPr>
        <w:t>verview of Methods, Da</w:t>
      </w:r>
      <w:r w:rsidR="009A749A">
        <w:rPr>
          <w:rFonts w:eastAsiaTheme="minorHAnsi"/>
        </w:rPr>
        <w:t xml:space="preserve">ta and NTGR </w:t>
      </w:r>
      <w:r>
        <w:rPr>
          <w:rFonts w:eastAsiaTheme="minorHAnsi"/>
        </w:rPr>
        <w:t>R</w:t>
      </w:r>
      <w:r w:rsidR="009A749A">
        <w:rPr>
          <w:rFonts w:eastAsiaTheme="minorHAnsi"/>
        </w:rPr>
        <w:t>esults by Method</w:t>
      </w:r>
    </w:p>
    <w:tbl>
      <w:tblPr>
        <w:tblStyle w:val="TableProfessional"/>
        <w:tblW w:w="5000" w:type="pct"/>
        <w:tblLayout w:type="fixed"/>
        <w:tblLook w:val="04A0"/>
      </w:tblPr>
      <w:tblGrid>
        <w:gridCol w:w="1009"/>
        <w:gridCol w:w="1352"/>
        <w:gridCol w:w="1170"/>
        <w:gridCol w:w="1979"/>
        <w:gridCol w:w="1708"/>
        <w:gridCol w:w="3513"/>
        <w:gridCol w:w="2445"/>
      </w:tblGrid>
      <w:tr w:rsidR="005F445B" w:rsidRPr="00FE73B0" w:rsidTr="003F0CBA">
        <w:trPr>
          <w:cnfStyle w:val="100000000000"/>
          <w:cantSplit/>
          <w:trHeight w:val="206"/>
          <w:tblHeader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9D9D9" w:themeColor="background1" w:themeShade="D9" w:fill="D9D9D9" w:themeFill="background1" w:themeFillShade="D9"/>
          </w:tcPr>
          <w:p w:rsidR="005F445B" w:rsidRPr="00FE73B0" w:rsidRDefault="005F445B" w:rsidP="003F0CBA">
            <w:pPr>
              <w:keepNext/>
              <w:spacing w:before="120" w:after="120" w:line="240" w:lineRule="auto"/>
              <w:jc w:val="center"/>
              <w:rPr>
                <w:sz w:val="20"/>
                <w:szCs w:val="16"/>
              </w:rPr>
            </w:pPr>
            <w:r w:rsidRPr="00FE73B0">
              <w:rPr>
                <w:sz w:val="20"/>
                <w:szCs w:val="16"/>
              </w:rPr>
              <w:t>DEER Updates Technology Group</w:t>
            </w:r>
            <w:r>
              <w:rPr>
                <w:sz w:val="20"/>
                <w:szCs w:val="16"/>
              </w:rPr>
              <w:t xml:space="preserve"> 9</w:t>
            </w:r>
            <w:r w:rsidRPr="00FE73B0">
              <w:rPr>
                <w:sz w:val="20"/>
                <w:szCs w:val="16"/>
              </w:rPr>
              <w:t xml:space="preserve"> – </w:t>
            </w:r>
            <w:r>
              <w:rPr>
                <w:sz w:val="20"/>
                <w:szCs w:val="16"/>
              </w:rPr>
              <w:t>Residential</w:t>
            </w:r>
            <w:r w:rsidRPr="00FE73B0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>Appliances</w:t>
            </w:r>
          </w:p>
        </w:tc>
      </w:tr>
      <w:tr w:rsidR="005F445B" w:rsidTr="00AF24A7">
        <w:trPr>
          <w:cnfStyle w:val="100000000000"/>
          <w:cantSplit/>
          <w:trHeight w:val="206"/>
          <w:tblHeader/>
        </w:trPr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Pr="007C77E4" w:rsidRDefault="005F445B" w:rsidP="003F0CBA">
            <w:pPr>
              <w:keepNext/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C77E4">
              <w:rPr>
                <w:sz w:val="16"/>
                <w:szCs w:val="16"/>
              </w:rPr>
              <w:t>EEM Categor</w:t>
            </w:r>
            <w:r>
              <w:rPr>
                <w:sz w:val="16"/>
                <w:szCs w:val="16"/>
              </w:rPr>
              <w:t>ies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6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Current NTGRs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6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Pr="007C77E4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 Delivery Approach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6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Pr="007C77E4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 w:rsidRPr="007C77E4">
              <w:rPr>
                <w:sz w:val="16"/>
                <w:szCs w:val="16"/>
              </w:rPr>
              <w:t>Data Sources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6" w:space="0" w:color="D9D9D9" w:themeColor="background1" w:themeShade="D9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Pr="007C77E4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NTGRs from Data Sources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4" w:space="0" w:color="auto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Pr="007C77E4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Methods Used in Data Sources to Estimate the NTGR Values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D9D9D9" w:themeColor="background1" w:themeShade="D9"/>
              <w:bottom w:val="single" w:sz="4" w:space="0" w:color="auto"/>
              <w:right w:val="single" w:sz="4" w:space="0" w:color="auto"/>
            </w:tcBorders>
            <w:shd w:val="solid" w:color="D9D9D9" w:themeColor="background1" w:themeShade="D9" w:fill="D9D9D9" w:themeFill="background1" w:themeFillShade="D9"/>
            <w:vAlign w:val="center"/>
          </w:tcPr>
          <w:p w:rsidR="005F445B" w:rsidRDefault="005F445B" w:rsidP="003F0CBA">
            <w:pPr>
              <w:keepNext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Approaches to Estimate “Forward-Looking” NTGR Values</w:t>
            </w:r>
          </w:p>
        </w:tc>
      </w:tr>
      <w:tr w:rsidR="005F445B" w:rsidRPr="002F22D5" w:rsidTr="00AF24A7">
        <w:trPr>
          <w:trHeight w:val="322"/>
        </w:trPr>
        <w:tc>
          <w:tcPr>
            <w:tcW w:w="383" w:type="pct"/>
            <w:vAlign w:val="center"/>
          </w:tcPr>
          <w:p w:rsidR="005F445B" w:rsidRPr="00380045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Clothes Washer</w:t>
            </w:r>
          </w:p>
        </w:tc>
        <w:tc>
          <w:tcPr>
            <w:tcW w:w="513" w:type="pct"/>
            <w:vAlign w:val="center"/>
          </w:tcPr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CW&gt;1.75MEF = 0.81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CW-15%&gt; DOE Std = .85</w:t>
            </w:r>
          </w:p>
        </w:tc>
        <w:tc>
          <w:tcPr>
            <w:tcW w:w="444" w:type="pct"/>
            <w:vAlign w:val="center"/>
          </w:tcPr>
          <w:p w:rsidR="005F445B" w:rsidRPr="002F22D5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Downstream Prescriptive</w:t>
            </w:r>
          </w:p>
        </w:tc>
        <w:tc>
          <w:tcPr>
            <w:tcW w:w="751" w:type="pct"/>
            <w:vAlign w:val="center"/>
          </w:tcPr>
          <w:p w:rsidR="005F445B" w:rsidRPr="002F22D5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BB6C3D">
              <w:rPr>
                <w:sz w:val="16"/>
                <w:szCs w:val="16"/>
              </w:rPr>
              <w:t>EM&amp;V of the CPUC Residential Retrofit High Impact Measure Evaluation Report and Appendices, February 8, 2010, The CADMUS Group</w:t>
            </w:r>
            <w:r>
              <w:rPr>
                <w:sz w:val="16"/>
                <w:szCs w:val="16"/>
              </w:rPr>
              <w:t xml:space="preserve"> [Ch.6}</w:t>
            </w:r>
          </w:p>
        </w:tc>
        <w:tc>
          <w:tcPr>
            <w:tcW w:w="648" w:type="pct"/>
            <w:vAlign w:val="center"/>
          </w:tcPr>
          <w:p w:rsidR="005F445B" w:rsidRDefault="004E085B" w:rsidP="003F0CBA">
            <w:pPr>
              <w:tabs>
                <w:tab w:val="center" w:pos="123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0608:</w:t>
            </w:r>
            <w:r w:rsidR="005F445B">
              <w:rPr>
                <w:sz w:val="16"/>
                <w:szCs w:val="16"/>
              </w:rPr>
              <w:t>NTGR</w:t>
            </w:r>
            <w:r w:rsidR="00570FBE">
              <w:rPr>
                <w:rStyle w:val="FootnoteReference"/>
              </w:rPr>
              <w:footnoteReference w:id="1"/>
            </w:r>
            <w:r w:rsidR="005F445B">
              <w:rPr>
                <w:sz w:val="16"/>
                <w:szCs w:val="16"/>
              </w:rPr>
              <w:t xml:space="preserve"> (Therms)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PG&amp;E2000</w:t>
            </w:r>
            <w:r>
              <w:rPr>
                <w:sz w:val="16"/>
                <w:szCs w:val="16"/>
              </w:rPr>
              <w:tab/>
              <w:t>0.31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SCG3517   </w:t>
            </w:r>
            <w:r>
              <w:rPr>
                <w:sz w:val="16"/>
                <w:szCs w:val="16"/>
              </w:rPr>
              <w:tab/>
              <w:t xml:space="preserve">0.29 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SDGE3023</w:t>
            </w:r>
            <w:r>
              <w:rPr>
                <w:sz w:val="16"/>
                <w:szCs w:val="16"/>
              </w:rPr>
              <w:tab/>
              <w:t>0.31 (nonHIM)</w:t>
            </w:r>
          </w:p>
          <w:p w:rsidR="005F445B" w:rsidRPr="002F22D5" w:rsidRDefault="006C4996" w:rsidP="003F0CBA">
            <w:pPr>
              <w:tabs>
                <w:tab w:val="left" w:pos="1151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Samples: </w:t>
            </w:r>
          </w:p>
        </w:tc>
        <w:tc>
          <w:tcPr>
            <w:tcW w:w="1333" w:type="pct"/>
            <w:vAlign w:val="center"/>
          </w:tcPr>
          <w:p w:rsidR="009109EF" w:rsidRDefault="00BD0FA0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AF24A7">
              <w:rPr>
                <w:b/>
                <w:sz w:val="16"/>
                <w:szCs w:val="16"/>
                <w:u w:val="single"/>
              </w:rPr>
              <w:t>0405</w:t>
            </w:r>
            <w:r>
              <w:rPr>
                <w:sz w:val="16"/>
                <w:szCs w:val="16"/>
              </w:rPr>
              <w:t xml:space="preserve"> Itron </w:t>
            </w:r>
            <w:r w:rsidR="009109EF">
              <w:rPr>
                <w:sz w:val="16"/>
                <w:szCs w:val="16"/>
              </w:rPr>
              <w:t xml:space="preserve">October </w:t>
            </w:r>
            <w:r>
              <w:rPr>
                <w:sz w:val="16"/>
                <w:szCs w:val="16"/>
              </w:rPr>
              <w:t>200</w:t>
            </w:r>
            <w:r w:rsidR="009109E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:</w:t>
            </w:r>
            <w:r w:rsidR="009109EF">
              <w:rPr>
                <w:sz w:val="16"/>
                <w:szCs w:val="16"/>
              </w:rPr>
              <w:t xml:space="preserve"> </w:t>
            </w:r>
            <w:r w:rsidR="00B370AF">
              <w:rPr>
                <w:sz w:val="16"/>
                <w:szCs w:val="16"/>
              </w:rPr>
              <w:t>All Residential</w:t>
            </w:r>
          </w:p>
          <w:p w:rsidR="009109EF" w:rsidRPr="009109EF" w:rsidRDefault="009109EF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NTGR (SR) = -0.57; NTGR (DC) – 0.81</w:t>
            </w:r>
            <w:r w:rsidR="00BD0FA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Used</w:t>
            </w:r>
            <w:r w:rsidR="00AF24A7">
              <w:rPr>
                <w:sz w:val="16"/>
                <w:szCs w:val="16"/>
              </w:rPr>
              <w:t xml:space="preserve"> both the </w:t>
            </w:r>
            <w:r w:rsidRPr="009109EF">
              <w:rPr>
                <w:sz w:val="16"/>
                <w:szCs w:val="16"/>
              </w:rPr>
              <w:t>self-report and discrete choice</w:t>
            </w:r>
            <w:r>
              <w:rPr>
                <w:sz w:val="16"/>
                <w:szCs w:val="16"/>
              </w:rPr>
              <w:t xml:space="preserve"> </w:t>
            </w:r>
            <w:r w:rsidR="00AF24A7">
              <w:rPr>
                <w:sz w:val="16"/>
                <w:szCs w:val="16"/>
              </w:rPr>
              <w:t>methods for estimating CW NTGR</w:t>
            </w:r>
          </w:p>
          <w:p w:rsidR="009109EF" w:rsidRDefault="00BD0FA0" w:rsidP="00D8188F">
            <w:pPr>
              <w:pStyle w:val="ListParagraph"/>
              <w:numPr>
                <w:ilvl w:val="0"/>
                <w:numId w:val="8"/>
              </w:numPr>
              <w:tabs>
                <w:tab w:val="decimal" w:pos="-2271"/>
                <w:tab w:val="decimal" w:pos="-1281"/>
              </w:tabs>
              <w:spacing w:after="0" w:line="240" w:lineRule="auto"/>
              <w:ind w:left="164" w:hanging="196"/>
              <w:jc w:val="left"/>
              <w:rPr>
                <w:sz w:val="16"/>
                <w:szCs w:val="16"/>
              </w:rPr>
            </w:pPr>
            <w:r w:rsidRPr="009109EF">
              <w:rPr>
                <w:sz w:val="16"/>
                <w:szCs w:val="16"/>
              </w:rPr>
              <w:t xml:space="preserve">The self-report analysis </w:t>
            </w:r>
            <w:r w:rsidR="004E085B">
              <w:rPr>
                <w:sz w:val="16"/>
                <w:szCs w:val="16"/>
              </w:rPr>
              <w:t>used</w:t>
            </w:r>
            <w:r w:rsidRPr="009109EF">
              <w:rPr>
                <w:sz w:val="16"/>
                <w:szCs w:val="16"/>
              </w:rPr>
              <w:t xml:space="preserve"> participant and</w:t>
            </w:r>
            <w:r w:rsidR="009109EF">
              <w:rPr>
                <w:sz w:val="16"/>
                <w:szCs w:val="16"/>
              </w:rPr>
              <w:t xml:space="preserve"> </w:t>
            </w:r>
            <w:r w:rsidRPr="009109EF">
              <w:rPr>
                <w:sz w:val="16"/>
                <w:szCs w:val="16"/>
              </w:rPr>
              <w:t xml:space="preserve">non-participant </w:t>
            </w:r>
            <w:r w:rsidR="004E085B">
              <w:rPr>
                <w:sz w:val="16"/>
                <w:szCs w:val="16"/>
              </w:rPr>
              <w:t xml:space="preserve">data - </w:t>
            </w:r>
          </w:p>
          <w:p w:rsidR="009109EF" w:rsidRPr="009109EF" w:rsidRDefault="009109EF" w:rsidP="00D8188F">
            <w:pPr>
              <w:pStyle w:val="ListParagraph"/>
              <w:numPr>
                <w:ilvl w:val="0"/>
                <w:numId w:val="8"/>
              </w:numPr>
              <w:tabs>
                <w:tab w:val="decimal" w:pos="-2271"/>
                <w:tab w:val="decimal" w:pos="-1281"/>
              </w:tabs>
              <w:spacing w:after="0" w:line="240" w:lineRule="auto"/>
              <w:ind w:left="164" w:hanging="196"/>
              <w:jc w:val="left"/>
              <w:rPr>
                <w:sz w:val="16"/>
                <w:szCs w:val="16"/>
              </w:rPr>
            </w:pPr>
            <w:r w:rsidRPr="009109EF">
              <w:rPr>
                <w:sz w:val="16"/>
                <w:szCs w:val="16"/>
              </w:rPr>
              <w:t xml:space="preserve">A two-stage discrete choice </w:t>
            </w:r>
            <w:r w:rsidR="00AF24A7">
              <w:rPr>
                <w:sz w:val="16"/>
                <w:szCs w:val="16"/>
              </w:rPr>
              <w:t xml:space="preserve">method </w:t>
            </w:r>
            <w:r w:rsidRPr="009109EF">
              <w:rPr>
                <w:sz w:val="16"/>
                <w:szCs w:val="16"/>
              </w:rPr>
              <w:t>model</w:t>
            </w:r>
            <w:r w:rsidR="00AF24A7">
              <w:rPr>
                <w:sz w:val="16"/>
                <w:szCs w:val="16"/>
              </w:rPr>
              <w:t>ed</w:t>
            </w:r>
            <w:r w:rsidRPr="009109EF">
              <w:rPr>
                <w:sz w:val="16"/>
                <w:szCs w:val="16"/>
              </w:rPr>
              <w:t xml:space="preserve"> the probability of purchasing high-efficiency measure as the product of the</w:t>
            </w:r>
            <w:r>
              <w:rPr>
                <w:sz w:val="16"/>
                <w:szCs w:val="16"/>
              </w:rPr>
              <w:t xml:space="preserve"> </w:t>
            </w:r>
            <w:r w:rsidRPr="009109EF">
              <w:rPr>
                <w:sz w:val="16"/>
                <w:szCs w:val="16"/>
              </w:rPr>
              <w:t>probability that the measure is purchased and the probability that the high-efficiency measure</w:t>
            </w:r>
            <w:r>
              <w:rPr>
                <w:sz w:val="16"/>
                <w:szCs w:val="16"/>
              </w:rPr>
              <w:t xml:space="preserve"> is selected</w:t>
            </w:r>
          </w:p>
          <w:p w:rsidR="0038576E" w:rsidRDefault="0038576E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</w:p>
          <w:p w:rsidR="004E085B" w:rsidRDefault="0038576E" w:rsidP="0059457A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SR: </w:t>
            </w:r>
            <w:r w:rsidR="004E085B">
              <w:rPr>
                <w:sz w:val="16"/>
                <w:szCs w:val="16"/>
              </w:rPr>
              <w:t xml:space="preserve">analyzed FR from four separate </w:t>
            </w:r>
            <w:r w:rsidR="004E085B" w:rsidRPr="004E085B">
              <w:rPr>
                <w:sz w:val="16"/>
                <w:szCs w:val="16"/>
              </w:rPr>
              <w:t>ways in</w:t>
            </w:r>
            <w:r w:rsidR="004E085B">
              <w:rPr>
                <w:sz w:val="16"/>
                <w:szCs w:val="16"/>
              </w:rPr>
              <w:t xml:space="preserve"> </w:t>
            </w:r>
            <w:r w:rsidR="004E085B" w:rsidRPr="004E085B">
              <w:rPr>
                <w:sz w:val="16"/>
                <w:szCs w:val="16"/>
              </w:rPr>
              <w:t>which the Program may influence a customer to adopt an energy-efficient measur</w:t>
            </w:r>
            <w:r w:rsidR="004E085B">
              <w:rPr>
                <w:sz w:val="16"/>
                <w:szCs w:val="16"/>
              </w:rPr>
              <w:t>e</w:t>
            </w:r>
            <w:r w:rsidR="0059457A">
              <w:rPr>
                <w:sz w:val="16"/>
                <w:szCs w:val="16"/>
              </w:rPr>
              <w:t xml:space="preserve">, with each assigned a probability score.  </w:t>
            </w:r>
            <w:r w:rsidR="0059457A" w:rsidRPr="0059457A">
              <w:rPr>
                <w:sz w:val="16"/>
                <w:szCs w:val="16"/>
              </w:rPr>
              <w:t>And</w:t>
            </w:r>
            <w:r w:rsidR="0059457A">
              <w:rPr>
                <w:sz w:val="16"/>
                <w:szCs w:val="16"/>
              </w:rPr>
              <w:t xml:space="preserve"> </w:t>
            </w:r>
            <w:r w:rsidR="0059457A" w:rsidRPr="0059457A">
              <w:rPr>
                <w:sz w:val="16"/>
                <w:szCs w:val="16"/>
              </w:rPr>
              <w:t xml:space="preserve">the average of the scores represents the </w:t>
            </w:r>
            <w:r w:rsidR="0059457A">
              <w:rPr>
                <w:sz w:val="16"/>
                <w:szCs w:val="16"/>
              </w:rPr>
              <w:t>FR value.</w:t>
            </w:r>
          </w:p>
          <w:p w:rsidR="00AF24A7" w:rsidRDefault="00AF24A7" w:rsidP="004E085B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Questions addressed relevant topic related to accelerated purchases and thus partial free riders, program effect on efficiency level selected and the number of efficiency products purchased;</w:t>
            </w:r>
            <w:r w:rsidR="000B256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relatively large sample size (&gt;1,500 for both participants and nonparticipants) and high completion rate for the SR surveys yielded robust and statistically significant NTGR results. </w:t>
            </w:r>
          </w:p>
          <w:p w:rsidR="00AF24A7" w:rsidRDefault="00AF24A7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</w:p>
          <w:p w:rsidR="00AF24A7" w:rsidRDefault="00AF24A7" w:rsidP="000B2566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The Discrete Choice </w:t>
            </w:r>
            <w:r w:rsidR="0038576E">
              <w:rPr>
                <w:sz w:val="16"/>
                <w:szCs w:val="16"/>
              </w:rPr>
              <w:t>model</w:t>
            </w:r>
            <w:r w:rsidR="00F34687">
              <w:rPr>
                <w:sz w:val="16"/>
                <w:szCs w:val="16"/>
              </w:rPr>
              <w:t xml:space="preserve">: </w:t>
            </w:r>
            <w:r w:rsidR="000B2566">
              <w:rPr>
                <w:sz w:val="16"/>
                <w:szCs w:val="16"/>
              </w:rPr>
              <w:t>-</w:t>
            </w:r>
            <w:r w:rsidR="000B2566" w:rsidRPr="006C4996">
              <w:rPr>
                <w:sz w:val="16"/>
                <w:szCs w:val="16"/>
              </w:rPr>
              <w:t>238 participants</w:t>
            </w:r>
            <w:r w:rsidR="000B2566">
              <w:rPr>
                <w:sz w:val="16"/>
                <w:szCs w:val="16"/>
              </w:rPr>
              <w:t xml:space="preserve"> 445 non-participants</w:t>
            </w:r>
            <w:r w:rsidR="0038576E">
              <w:rPr>
                <w:sz w:val="16"/>
                <w:szCs w:val="16"/>
              </w:rPr>
              <w:t>: is based on hypothesized purchasing behavior that includes nonparticipants</w:t>
            </w:r>
            <w:r w:rsidR="006C4996">
              <w:rPr>
                <w:sz w:val="16"/>
                <w:szCs w:val="16"/>
              </w:rPr>
              <w:t>.</w:t>
            </w:r>
            <w:r w:rsidR="000B2566">
              <w:rPr>
                <w:sz w:val="16"/>
                <w:szCs w:val="16"/>
              </w:rPr>
              <w:t xml:space="preserve"> </w:t>
            </w:r>
            <w:r w:rsidR="0038576E">
              <w:rPr>
                <w:sz w:val="16"/>
                <w:szCs w:val="16"/>
              </w:rPr>
              <w:t xml:space="preserve"> </w:t>
            </w:r>
            <w:r w:rsidR="006C4996" w:rsidRPr="006C4996">
              <w:rPr>
                <w:sz w:val="16"/>
                <w:szCs w:val="16"/>
              </w:rPr>
              <w:t>Participant level free-ridership was estimated</w:t>
            </w:r>
            <w:r w:rsidR="006C4996">
              <w:rPr>
                <w:sz w:val="16"/>
                <w:szCs w:val="16"/>
              </w:rPr>
              <w:t xml:space="preserve"> </w:t>
            </w:r>
            <w:r w:rsidR="006C4996" w:rsidRPr="006C4996">
              <w:rPr>
                <w:sz w:val="16"/>
                <w:szCs w:val="16"/>
              </w:rPr>
              <w:t>from these probabilities by dividing the probability of making the purchase without the</w:t>
            </w:r>
            <w:r w:rsidR="000B2566">
              <w:rPr>
                <w:sz w:val="16"/>
                <w:szCs w:val="16"/>
              </w:rPr>
              <w:t xml:space="preserve"> p</w:t>
            </w:r>
            <w:r w:rsidR="006C4996" w:rsidRPr="006C4996">
              <w:rPr>
                <w:sz w:val="16"/>
                <w:szCs w:val="16"/>
              </w:rPr>
              <w:t>rogram by the probability of makin</w:t>
            </w:r>
            <w:r w:rsidR="000B2566">
              <w:rPr>
                <w:sz w:val="16"/>
                <w:szCs w:val="16"/>
              </w:rPr>
              <w:t>g the purchase with the Program.  DC is less prone to self-report bias, and is considered more credible than self-report results</w:t>
            </w:r>
          </w:p>
          <w:p w:rsidR="00AF24A7" w:rsidRPr="009109EF" w:rsidRDefault="00AF24A7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</w:p>
          <w:p w:rsidR="005F445B" w:rsidRPr="009109EF" w:rsidRDefault="009109EF" w:rsidP="009109EF">
            <w:pPr>
              <w:tabs>
                <w:tab w:val="decimal" w:pos="-2271"/>
                <w:tab w:val="decimal" w:pos="-1281"/>
              </w:tabs>
              <w:spacing w:after="0" w:line="240" w:lineRule="auto"/>
              <w:ind w:left="-32"/>
              <w:jc w:val="left"/>
              <w:rPr>
                <w:sz w:val="16"/>
                <w:szCs w:val="16"/>
              </w:rPr>
            </w:pPr>
            <w:r w:rsidRPr="00AF24A7">
              <w:rPr>
                <w:b/>
                <w:sz w:val="16"/>
                <w:szCs w:val="16"/>
                <w:u w:val="single"/>
              </w:rPr>
              <w:t>0608</w:t>
            </w:r>
            <w:r>
              <w:rPr>
                <w:sz w:val="16"/>
                <w:szCs w:val="16"/>
              </w:rPr>
              <w:t xml:space="preserve"> </w:t>
            </w:r>
            <w:r w:rsidR="0006200B" w:rsidRPr="0006200B">
              <w:rPr>
                <w:sz w:val="16"/>
                <w:szCs w:val="16"/>
              </w:rPr>
              <w:t xml:space="preserve">self-report NTG method </w:t>
            </w:r>
            <w:r w:rsidR="0006200B">
              <w:rPr>
                <w:sz w:val="16"/>
                <w:szCs w:val="16"/>
              </w:rPr>
              <w:t>only</w:t>
            </w:r>
            <w:r w:rsidR="00107D79">
              <w:rPr>
                <w:sz w:val="16"/>
                <w:szCs w:val="16"/>
              </w:rPr>
              <w:t xml:space="preserve">: </w:t>
            </w:r>
          </w:p>
          <w:p w:rsidR="005F445B" w:rsidRDefault="0006200B" w:rsidP="0006200B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 participant surveys</w:t>
            </w:r>
            <w:r w:rsidR="005F445B" w:rsidRPr="005311A2">
              <w:rPr>
                <w:sz w:val="16"/>
                <w:szCs w:val="16"/>
              </w:rPr>
              <w:t xml:space="preserve"> 551</w:t>
            </w:r>
            <w:r>
              <w:rPr>
                <w:sz w:val="16"/>
                <w:szCs w:val="16"/>
              </w:rPr>
              <w:t xml:space="preserve"> (PGE), </w:t>
            </w:r>
            <w:r w:rsidR="005F445B" w:rsidRPr="005311A2">
              <w:rPr>
                <w:sz w:val="16"/>
                <w:szCs w:val="16"/>
              </w:rPr>
              <w:t>323</w:t>
            </w:r>
            <w:r>
              <w:rPr>
                <w:sz w:val="16"/>
                <w:szCs w:val="16"/>
              </w:rPr>
              <w:t xml:space="preserve"> (SDGE), </w:t>
            </w:r>
            <w:r w:rsidR="005F445B">
              <w:rPr>
                <w:sz w:val="16"/>
                <w:szCs w:val="16"/>
              </w:rPr>
              <w:t>116</w:t>
            </w:r>
            <w:r>
              <w:rPr>
                <w:sz w:val="16"/>
                <w:szCs w:val="16"/>
              </w:rPr>
              <w:t xml:space="preserve"> (</w:t>
            </w:r>
            <w:r w:rsidR="005F445B">
              <w:rPr>
                <w:sz w:val="16"/>
                <w:szCs w:val="16"/>
              </w:rPr>
              <w:t>SCG</w:t>
            </w:r>
            <w:r>
              <w:rPr>
                <w:sz w:val="16"/>
                <w:szCs w:val="16"/>
              </w:rPr>
              <w:t>)</w:t>
            </w:r>
          </w:p>
          <w:p w:rsidR="00107D79" w:rsidRDefault="00107D79" w:rsidP="0006200B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Participants were interviewed </w:t>
            </w:r>
            <w:r w:rsidRPr="00107D79">
              <w:rPr>
                <w:sz w:val="16"/>
                <w:szCs w:val="16"/>
              </w:rPr>
              <w:t>to measure each program’s influence on that person's decision-making. The survey obtained highly structured responses concerning the</w:t>
            </w:r>
            <w:r>
              <w:rPr>
                <w:sz w:val="16"/>
                <w:szCs w:val="16"/>
              </w:rPr>
              <w:t xml:space="preserve"> </w:t>
            </w:r>
            <w:r w:rsidRPr="00107D79">
              <w:rPr>
                <w:sz w:val="16"/>
                <w:szCs w:val="16"/>
              </w:rPr>
              <w:t>probability that the household would have installed the same measure(s) at the same time in the absence of the program. The survey also included open- and closed-ended questions that focused on the participant's motivation for installing the efficiency measure.</w:t>
            </w:r>
          </w:p>
          <w:p w:rsidR="00712744" w:rsidRDefault="0059457A" w:rsidP="0006200B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Similar to the 0405 Itron study, t</w:t>
            </w:r>
            <w:r w:rsidR="00712744" w:rsidRPr="00712744">
              <w:rPr>
                <w:sz w:val="16"/>
                <w:szCs w:val="16"/>
              </w:rPr>
              <w:t>he NTGR algorithm derived four separate measurements of free-ridership from different inquiry routes. These four measurements were averaged to derive the final free-ridershi</w:t>
            </w:r>
            <w:r w:rsidR="00712744">
              <w:rPr>
                <w:sz w:val="16"/>
                <w:szCs w:val="16"/>
              </w:rPr>
              <w:t>p estimate at the measure level for each program evaluated.</w:t>
            </w:r>
          </w:p>
          <w:p w:rsidR="00ED63DE" w:rsidRPr="002F22D5" w:rsidRDefault="00570FBE" w:rsidP="00ED63DE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570FBE">
              <w:rPr>
                <w:sz w:val="16"/>
                <w:szCs w:val="16"/>
              </w:rPr>
              <w:t>Results from this analysis indicate a very high level of free-ridership across all three programs as compared to ex ante assumptions</w:t>
            </w:r>
            <w:r w:rsidR="00107D79">
              <w:rPr>
                <w:sz w:val="16"/>
                <w:szCs w:val="16"/>
              </w:rPr>
              <w:t xml:space="preserve">. </w:t>
            </w:r>
            <w:r w:rsidR="00ED63DE" w:rsidRPr="00ED63DE">
              <w:rPr>
                <w:sz w:val="16"/>
                <w:szCs w:val="16"/>
              </w:rPr>
              <w:t xml:space="preserve">The self-report NTGR is also substantially higher than the market share data reported by the Department of Energy (DOE). </w:t>
            </w:r>
            <w:r w:rsidR="00226412">
              <w:rPr>
                <w:rStyle w:val="FootnoteReference"/>
              </w:rPr>
              <w:footnoteReference w:id="2"/>
            </w:r>
          </w:p>
        </w:tc>
        <w:tc>
          <w:tcPr>
            <w:tcW w:w="928" w:type="pct"/>
          </w:tcPr>
          <w:p w:rsidR="009109EF" w:rsidRDefault="00F34687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Both the 0405 and the 0608 evaluations used similar self-report multi-step approach in calculating the NTGR, with the latest study  using larger sample sizes </w:t>
            </w:r>
            <w:r w:rsidR="005975C7">
              <w:rPr>
                <w:sz w:val="16"/>
                <w:szCs w:val="16"/>
              </w:rPr>
              <w:t xml:space="preserve">but no </w:t>
            </w:r>
            <w:r>
              <w:rPr>
                <w:sz w:val="16"/>
                <w:szCs w:val="16"/>
              </w:rPr>
              <w:t xml:space="preserve"> non-participants data to corroborate the results. </w:t>
            </w:r>
          </w:p>
          <w:p w:rsidR="00F34687" w:rsidRDefault="005975C7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addition, t</w:t>
            </w:r>
            <w:r w:rsidR="00F34687">
              <w:rPr>
                <w:sz w:val="16"/>
                <w:szCs w:val="16"/>
              </w:rPr>
              <w:t xml:space="preserve">he 0608 </w:t>
            </w:r>
            <w:r>
              <w:rPr>
                <w:sz w:val="16"/>
                <w:szCs w:val="16"/>
              </w:rPr>
              <w:t xml:space="preserve">self-reported </w:t>
            </w:r>
            <w:r w:rsidR="00F34687">
              <w:rPr>
                <w:sz w:val="16"/>
                <w:szCs w:val="16"/>
              </w:rPr>
              <w:t xml:space="preserve">NTGR values are significantly lower than the </w:t>
            </w:r>
            <w:r>
              <w:rPr>
                <w:sz w:val="16"/>
                <w:szCs w:val="16"/>
              </w:rPr>
              <w:t>DEER (0405 study)</w:t>
            </w:r>
            <w:r w:rsidR="00F34687">
              <w:rPr>
                <w:sz w:val="16"/>
                <w:szCs w:val="16"/>
              </w:rPr>
              <w:t xml:space="preserve"> values </w:t>
            </w:r>
            <w:r>
              <w:rPr>
                <w:sz w:val="16"/>
                <w:szCs w:val="16"/>
              </w:rPr>
              <w:t>by 50%-52%.</w:t>
            </w:r>
          </w:p>
          <w:p w:rsidR="00554F7F" w:rsidRDefault="00554F7F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Recommendation: use results from 0608 to adjust  numbers:</w:t>
            </w:r>
          </w:p>
          <w:p w:rsidR="005975C7" w:rsidRDefault="00554F7F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Rationale:</w:t>
            </w:r>
            <w:r w:rsidR="005975C7">
              <w:rPr>
                <w:sz w:val="16"/>
                <w:szCs w:val="16"/>
              </w:rPr>
              <w:t xml:space="preserve"> (1)</w:t>
            </w:r>
            <w:r>
              <w:rPr>
                <w:sz w:val="16"/>
                <w:szCs w:val="16"/>
              </w:rPr>
              <w:t xml:space="preserve"> multi-</w:t>
            </w:r>
            <w:r w:rsidR="005975C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step </w:t>
            </w:r>
            <w:r w:rsidR="005975C7">
              <w:rPr>
                <w:sz w:val="16"/>
                <w:szCs w:val="16"/>
              </w:rPr>
              <w:t>methodology</w:t>
            </w:r>
            <w:r>
              <w:rPr>
                <w:sz w:val="16"/>
                <w:szCs w:val="16"/>
              </w:rPr>
              <w:t xml:space="preserve"> –same  as 0405</w:t>
            </w:r>
            <w:r w:rsidR="005975C7">
              <w:rPr>
                <w:sz w:val="16"/>
                <w:szCs w:val="16"/>
              </w:rPr>
              <w:t>, (2) larger sample size</w:t>
            </w:r>
            <w:r>
              <w:rPr>
                <w:sz w:val="16"/>
                <w:szCs w:val="16"/>
              </w:rPr>
              <w:t xml:space="preserve"> but no nonparticipants</w:t>
            </w:r>
            <w:r w:rsidR="005975C7">
              <w:rPr>
                <w:sz w:val="16"/>
                <w:szCs w:val="16"/>
              </w:rPr>
              <w:t xml:space="preserve">, and </w:t>
            </w:r>
            <w:r>
              <w:rPr>
                <w:sz w:val="16"/>
                <w:szCs w:val="16"/>
              </w:rPr>
              <w:t>(3)</w:t>
            </w:r>
            <w:r w:rsidR="005975C7">
              <w:rPr>
                <w:sz w:val="16"/>
                <w:szCs w:val="16"/>
              </w:rPr>
              <w:t xml:space="preserve"> </w:t>
            </w:r>
            <w:r w:rsidR="005975C7" w:rsidRPr="005975C7">
              <w:rPr>
                <w:sz w:val="16"/>
                <w:szCs w:val="16"/>
              </w:rPr>
              <w:t xml:space="preserve">reported market share data for ENERGY STAR clothes washers (which is also inclusive of all the more efficient CEER tiers) was 38% in </w:t>
            </w:r>
            <w:r w:rsidR="005975C7" w:rsidRPr="005975C7">
              <w:rPr>
                <w:sz w:val="16"/>
                <w:szCs w:val="16"/>
              </w:rPr>
              <w:lastRenderedPageBreak/>
              <w:t>2006, 42%, and 24%, respectively</w:t>
            </w:r>
            <w:r>
              <w:rPr>
                <w:sz w:val="16"/>
                <w:szCs w:val="16"/>
              </w:rPr>
              <w:t xml:space="preserve"> and</w:t>
            </w:r>
            <w:r w:rsidR="005975C7" w:rsidRPr="005975C7">
              <w:rPr>
                <w:sz w:val="16"/>
                <w:szCs w:val="16"/>
              </w:rPr>
              <w:t xml:space="preserve"> the 2007 Itron Market Share Report found that 45% of California CW sales were ENERGY STAR rated or higher</w:t>
            </w:r>
            <w:r>
              <w:rPr>
                <w:sz w:val="16"/>
                <w:szCs w:val="16"/>
              </w:rPr>
              <w:t xml:space="preserve">, </w:t>
            </w:r>
            <w:r w:rsidR="005975C7" w:rsidRPr="005975C7">
              <w:rPr>
                <w:sz w:val="16"/>
                <w:szCs w:val="16"/>
              </w:rPr>
              <w:t xml:space="preserve">. While this is not an estimate of free-ridership, it is an indication that sales of ENERGY STAR clothes washers were in the 24%-42% range </w:t>
            </w:r>
            <w:r>
              <w:rPr>
                <w:sz w:val="16"/>
                <w:szCs w:val="16"/>
              </w:rPr>
              <w:t>nationally, significantly lower than the self-reported estimate of free ridership in the study.</w:t>
            </w:r>
          </w:p>
          <w:p w:rsidR="005975C7" w:rsidRDefault="005975C7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  <w:p w:rsidR="005975C7" w:rsidRDefault="005975C7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  <w:p w:rsidR="005975C7" w:rsidRDefault="005975C7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  <w:p w:rsidR="009109EF" w:rsidRPr="002F22D5" w:rsidRDefault="009109EF" w:rsidP="00554F7F">
            <w:pPr>
              <w:tabs>
                <w:tab w:val="decimal" w:pos="-2271"/>
                <w:tab w:val="decimal" w:pos="-1281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</w:tr>
      <w:tr w:rsidR="005F445B" w:rsidRPr="00F869D3" w:rsidTr="00AF24A7">
        <w:trPr>
          <w:trHeight w:val="322"/>
        </w:trPr>
        <w:tc>
          <w:tcPr>
            <w:tcW w:w="383" w:type="pct"/>
            <w:vAlign w:val="center"/>
          </w:tcPr>
          <w:p w:rsidR="005F445B" w:rsidRPr="00380045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A80411">
              <w:rPr>
                <w:b/>
                <w:sz w:val="16"/>
                <w:szCs w:val="16"/>
              </w:rPr>
              <w:lastRenderedPageBreak/>
              <w:t xml:space="preserve">Refrigerator </w:t>
            </w:r>
            <w:r>
              <w:rPr>
                <w:sz w:val="16"/>
                <w:szCs w:val="16"/>
              </w:rPr>
              <w:t>&amp; Freezer</w:t>
            </w:r>
          </w:p>
        </w:tc>
        <w:tc>
          <w:tcPr>
            <w:tcW w:w="513" w:type="pct"/>
            <w:vAlign w:val="center"/>
          </w:tcPr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Refrig current standard = 0.57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Refrig 15% &gt;=0.75 </w:t>
            </w:r>
          </w:p>
          <w:p w:rsidR="005F445B" w:rsidRDefault="005F445B" w:rsidP="003F0CBA">
            <w:pPr>
              <w:spacing w:line="240" w:lineRule="auto"/>
              <w:jc w:val="left"/>
              <w:rPr>
                <w:b/>
                <w:sz w:val="16"/>
                <w:szCs w:val="16"/>
              </w:rPr>
            </w:pPr>
          </w:p>
          <w:p w:rsidR="005F445B" w:rsidRPr="00A80411" w:rsidRDefault="005F445B" w:rsidP="003F0CBA">
            <w:pPr>
              <w:spacing w:line="240" w:lineRule="auto"/>
              <w:jc w:val="left"/>
              <w:rPr>
                <w:b/>
                <w:sz w:val="16"/>
                <w:szCs w:val="16"/>
              </w:rPr>
            </w:pPr>
            <w:r w:rsidRPr="00A80411">
              <w:rPr>
                <w:b/>
                <w:sz w:val="16"/>
                <w:szCs w:val="16"/>
              </w:rPr>
              <w:t>Refrig Rec =0.61</w:t>
            </w:r>
            <w:r>
              <w:rPr>
                <w:b/>
                <w:sz w:val="16"/>
                <w:szCs w:val="16"/>
              </w:rPr>
              <w:t>4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Parts=716; NParts=354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Freezer Rec = </w:t>
            </w:r>
            <w:r w:rsidRPr="00E00155">
              <w:rPr>
                <w:sz w:val="16"/>
                <w:szCs w:val="16"/>
              </w:rPr>
              <w:t>0.70</w:t>
            </w:r>
          </w:p>
        </w:tc>
        <w:tc>
          <w:tcPr>
            <w:tcW w:w="444" w:type="pct"/>
            <w:vAlign w:val="center"/>
          </w:tcPr>
          <w:p w:rsidR="005F445B" w:rsidRDefault="005F445B" w:rsidP="003F0CB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Downstream</w:t>
            </w:r>
          </w:p>
          <w:p w:rsidR="005F445B" w:rsidRPr="00A80411" w:rsidRDefault="005F445B" w:rsidP="003F0CBA">
            <w:pPr>
              <w:spacing w:line="240" w:lineRule="auto"/>
              <w:rPr>
                <w:b/>
                <w:sz w:val="16"/>
                <w:szCs w:val="16"/>
              </w:rPr>
            </w:pPr>
            <w:r w:rsidRPr="00A80411">
              <w:rPr>
                <w:b/>
                <w:sz w:val="16"/>
                <w:szCs w:val="16"/>
              </w:rPr>
              <w:t>Turn-in Recycling</w:t>
            </w:r>
          </w:p>
        </w:tc>
        <w:tc>
          <w:tcPr>
            <w:tcW w:w="751" w:type="pct"/>
            <w:vAlign w:val="center"/>
          </w:tcPr>
          <w:p w:rsidR="005F445B" w:rsidRPr="002F22D5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BB6C3D">
              <w:rPr>
                <w:sz w:val="16"/>
                <w:szCs w:val="16"/>
              </w:rPr>
              <w:t>EM&amp;V of the CPUC Residential Retrofit High Impact Measure Evaluation Report and Appendices, February 8, 2010, The CADMUS Group</w:t>
            </w:r>
            <w:r>
              <w:rPr>
                <w:sz w:val="16"/>
                <w:szCs w:val="16"/>
              </w:rPr>
              <w:t xml:space="preserve"> [Ch. 11]</w:t>
            </w:r>
          </w:p>
        </w:tc>
        <w:tc>
          <w:tcPr>
            <w:tcW w:w="648" w:type="pct"/>
            <w:vAlign w:val="center"/>
          </w:tcPr>
          <w:p w:rsidR="005F445B" w:rsidRDefault="005F445B" w:rsidP="003F0CBA">
            <w:pPr>
              <w:tabs>
                <w:tab w:val="center" w:pos="123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NTGR by IOU for Refrigerator Recycling Programs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PGE2000   </w:t>
            </w:r>
            <w:r>
              <w:rPr>
                <w:sz w:val="16"/>
                <w:szCs w:val="16"/>
              </w:rPr>
              <w:tab/>
              <w:t>051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SCE2500   </w:t>
            </w:r>
            <w:r>
              <w:rPr>
                <w:sz w:val="16"/>
                <w:szCs w:val="16"/>
              </w:rPr>
              <w:tab/>
              <w:t>0.56</w:t>
            </w:r>
          </w:p>
          <w:p w:rsidR="005F445B" w:rsidRDefault="005F445B" w:rsidP="003F0CBA">
            <w:pPr>
              <w:tabs>
                <w:tab w:val="decimal" w:pos="696"/>
                <w:tab w:val="decimal" w:pos="1228"/>
              </w:tabs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SDGE3028 </w:t>
            </w:r>
            <w:r>
              <w:rPr>
                <w:sz w:val="16"/>
                <w:szCs w:val="16"/>
              </w:rPr>
              <w:tab/>
              <w:t>058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Pr="002F22D5" w:rsidRDefault="005F445B" w:rsidP="003F0CBA">
            <w:pPr>
              <w:tabs>
                <w:tab w:val="decimal" w:pos="141"/>
                <w:tab w:val="decimal" w:pos="703"/>
                <w:tab w:val="decimal" w:pos="1153"/>
                <w:tab w:val="decimal" w:pos="1603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333" w:type="pct"/>
            <w:vAlign w:val="center"/>
          </w:tcPr>
          <w:p w:rsidR="005F445B" w:rsidRDefault="005F445B" w:rsidP="003F0CBA">
            <w:pPr>
              <w:tabs>
                <w:tab w:val="center" w:pos="1238"/>
              </w:tabs>
              <w:spacing w:line="240" w:lineRule="auto"/>
              <w:rPr>
                <w:sz w:val="16"/>
                <w:szCs w:val="16"/>
              </w:rPr>
            </w:pPr>
          </w:p>
          <w:p w:rsidR="005F445B" w:rsidRDefault="005F445B" w:rsidP="003F0CBA">
            <w:pPr>
              <w:tabs>
                <w:tab w:val="center" w:pos="1238"/>
              </w:tabs>
              <w:spacing w:line="240" w:lineRule="auto"/>
              <w:rPr>
                <w:sz w:val="16"/>
                <w:szCs w:val="16"/>
              </w:rPr>
            </w:pPr>
            <w:r w:rsidRPr="000E59EE">
              <w:rPr>
                <w:sz w:val="16"/>
                <w:szCs w:val="16"/>
              </w:rPr>
              <w:t>To determine</w:t>
            </w:r>
            <w:r>
              <w:rPr>
                <w:sz w:val="16"/>
                <w:szCs w:val="16"/>
              </w:rPr>
              <w:t xml:space="preserve"> (refrigerator recycling) </w:t>
            </w:r>
            <w:r w:rsidRPr="000E59EE">
              <w:rPr>
                <w:sz w:val="16"/>
                <w:szCs w:val="16"/>
              </w:rPr>
              <w:t>net-to-gross ratio for each utility, a methodology similar to that employed in the 2004-2005 statewide ARP evaluation was undertaken. The methodology utilizes surveys with participants, non</w:t>
            </w:r>
            <w:r>
              <w:rPr>
                <w:sz w:val="16"/>
                <w:szCs w:val="16"/>
              </w:rPr>
              <w:t>-participants and market actors. A</w:t>
            </w:r>
            <w:r w:rsidRPr="00881A01">
              <w:rPr>
                <w:sz w:val="16"/>
                <w:szCs w:val="16"/>
              </w:rPr>
              <w:t xml:space="preserve"> weighted average of participant and non-participant responses, as well as respondents discarding primary and secondary refrigerators was calculated. This average NTG serves as the evaluation’s final determination of program NTG for each utility</w:t>
            </w:r>
          </w:p>
          <w:p w:rsidR="005F445B" w:rsidRDefault="005F445B" w:rsidP="003F0CBA">
            <w:pPr>
              <w:spacing w:line="240" w:lineRule="auto"/>
              <w:rPr>
                <w:sz w:val="16"/>
                <w:szCs w:val="16"/>
              </w:rPr>
            </w:pPr>
          </w:p>
          <w:p w:rsidR="005F445B" w:rsidRDefault="005F445B" w:rsidP="003F0CBA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Surveys conducted: Partic</w:t>
            </w:r>
            <w:r w:rsidR="00EE445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pant Survey = 1857; nonparticipant survey = 1173; market actors = 81</w:t>
            </w:r>
          </w:p>
          <w:p w:rsidR="005F445B" w:rsidRPr="00A06D34" w:rsidRDefault="005F445B" w:rsidP="003F0CBA">
            <w:pPr>
              <w:spacing w:line="240" w:lineRule="auto"/>
              <w:rPr>
                <w:sz w:val="16"/>
                <w:szCs w:val="16"/>
              </w:rPr>
            </w:pPr>
          </w:p>
          <w:p w:rsidR="005F445B" w:rsidRPr="00F869D3" w:rsidRDefault="005F445B" w:rsidP="003F0CBA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28" w:type="pct"/>
          </w:tcPr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Only the Refrigerator Recycling programs evaluated in 0608. NTG values were only provided at the IOU program level. 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However, Controversy over the NGT values for Appliance Recycling suggests that updating this value should wait for the results of the 2010-2012 EM&amp;V ARP study.</w:t>
            </w:r>
          </w:p>
          <w:p w:rsidR="005F445B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  <w:p w:rsidR="005F445B" w:rsidRPr="00F869D3" w:rsidRDefault="005F445B" w:rsidP="003F0CBA">
            <w:pPr>
              <w:spacing w:line="240" w:lineRule="auto"/>
              <w:jc w:val="left"/>
              <w:rPr>
                <w:sz w:val="16"/>
                <w:szCs w:val="16"/>
              </w:rPr>
            </w:pPr>
          </w:p>
        </w:tc>
      </w:tr>
    </w:tbl>
    <w:p w:rsidR="005F445B" w:rsidRDefault="005F445B" w:rsidP="005F445B">
      <w:pPr>
        <w:pStyle w:val="Default"/>
      </w:pPr>
    </w:p>
    <w:p w:rsidR="008D7823" w:rsidRDefault="008D7823" w:rsidP="009A749A">
      <w:pPr>
        <w:spacing w:after="200" w:line="276" w:lineRule="auto"/>
        <w:rPr>
          <w:rFonts w:eastAsiaTheme="minorHAnsi"/>
        </w:rPr>
      </w:pPr>
    </w:p>
    <w:p w:rsidR="009E74F2" w:rsidRDefault="009E74F2">
      <w:pPr>
        <w:spacing w:after="130"/>
        <w:ind w:left="720" w:hanging="432"/>
        <w:rPr>
          <w:rFonts w:eastAsiaTheme="minorHAnsi"/>
        </w:rPr>
      </w:pPr>
      <w:r>
        <w:rPr>
          <w:rFonts w:eastAsiaTheme="minorHAnsi"/>
        </w:rPr>
        <w:br w:type="page"/>
      </w:r>
    </w:p>
    <w:p w:rsidR="009E74F2" w:rsidRPr="009E74F2" w:rsidRDefault="008E2C82" w:rsidP="008E2C82">
      <w:pPr>
        <w:pStyle w:val="Caption"/>
        <w:rPr>
          <w:color w:val="000000"/>
        </w:rPr>
      </w:pPr>
      <w:r>
        <w:lastRenderedPageBreak/>
        <w:t>Table A-7-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="009E74F2">
        <w:rPr>
          <w:color w:val="000000"/>
        </w:rPr>
        <w:t>CADMUS 2010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271"/>
        <w:gridCol w:w="1271"/>
        <w:gridCol w:w="1271"/>
        <w:gridCol w:w="1271"/>
      </w:tblGrid>
      <w:tr w:rsidR="009E74F2" w:rsidRPr="009E74F2">
        <w:trPr>
          <w:trHeight w:val="208"/>
        </w:trPr>
        <w:tc>
          <w:tcPr>
            <w:tcW w:w="5084" w:type="dxa"/>
            <w:gridSpan w:val="4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b/>
                <w:bCs/>
                <w:sz w:val="23"/>
                <w:szCs w:val="23"/>
              </w:rPr>
              <w:t xml:space="preserve">Table 134. Net-to-Gross Ratios by Utility </w:t>
            </w: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Overall Net-To-Gross Ratio (Weighted Average of Primary/Secondary) </w:t>
            </w:r>
          </w:p>
        </w:tc>
      </w:tr>
      <w:tr w:rsidR="009E74F2" w:rsidRPr="009E74F2">
        <w:trPr>
          <w:trHeight w:val="22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Utility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Non-participant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Weighted Average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PGE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0.44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0.59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0.51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SCE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0.52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0.60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0.56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SDGE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0.51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0.64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0.58 </w:t>
            </w:r>
          </w:p>
        </w:tc>
      </w:tr>
      <w:tr w:rsidR="009E74F2" w:rsidRPr="009E74F2">
        <w:trPr>
          <w:trHeight w:val="93"/>
        </w:trPr>
        <w:tc>
          <w:tcPr>
            <w:tcW w:w="5084" w:type="dxa"/>
            <w:gridSpan w:val="4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Primary Net-To-Gross Ratio </w:t>
            </w:r>
          </w:p>
        </w:tc>
      </w:tr>
      <w:tr w:rsidR="009E74F2" w:rsidRPr="009E74F2">
        <w:trPr>
          <w:trHeight w:val="22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Utility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Non-participant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Weighted Average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PGE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0.41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0.56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0.45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SCE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0.49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0.55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0.48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SDGE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0.50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0.60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0.52 </w:t>
            </w:r>
          </w:p>
        </w:tc>
      </w:tr>
      <w:tr w:rsidR="009E74F2" w:rsidRPr="009E74F2">
        <w:trPr>
          <w:trHeight w:val="93"/>
        </w:trPr>
        <w:tc>
          <w:tcPr>
            <w:tcW w:w="5084" w:type="dxa"/>
            <w:gridSpan w:val="4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Secondary Net-To-Gross Ratio </w:t>
            </w:r>
          </w:p>
        </w:tc>
      </w:tr>
      <w:tr w:rsidR="009E74F2" w:rsidRPr="009E74F2">
        <w:trPr>
          <w:trHeight w:val="22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Utility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Non-participant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Weighted Average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PGE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0.48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0.73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0.62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SCE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0.57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0.87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0.78 </w:t>
            </w:r>
          </w:p>
        </w:tc>
      </w:tr>
      <w:tr w:rsidR="009E74F2" w:rsidRPr="009E74F2">
        <w:trPr>
          <w:trHeight w:val="93"/>
        </w:trPr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SDGE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0.53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0.88 </w:t>
            </w:r>
          </w:p>
        </w:tc>
        <w:tc>
          <w:tcPr>
            <w:tcW w:w="1271" w:type="dxa"/>
          </w:tcPr>
          <w:p w:rsidR="009E74F2" w:rsidRPr="009E74F2" w:rsidRDefault="009E74F2" w:rsidP="009E74F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74F2">
              <w:rPr>
                <w:rFonts w:ascii="Arial" w:hAnsi="Arial" w:cs="Arial"/>
                <w:color w:val="000000"/>
                <w:sz w:val="20"/>
                <w:szCs w:val="20"/>
              </w:rPr>
              <w:t xml:space="preserve">0.78 </w:t>
            </w:r>
          </w:p>
        </w:tc>
      </w:tr>
    </w:tbl>
    <w:p w:rsidR="009E74F2" w:rsidRPr="009A749A" w:rsidRDefault="009E74F2" w:rsidP="009A749A">
      <w:pPr>
        <w:spacing w:after="200" w:line="276" w:lineRule="auto"/>
        <w:rPr>
          <w:rFonts w:eastAsiaTheme="minorHAnsi"/>
        </w:rPr>
      </w:pPr>
    </w:p>
    <w:sectPr w:rsidR="009E74F2" w:rsidRPr="009A749A" w:rsidSect="009A749A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 w:code="1"/>
      <w:pgMar w:top="1440" w:right="1440" w:bottom="1440" w:left="1440" w:header="720" w:footer="720" w:gutter="0"/>
      <w:pgNumType w:start="1"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066" w:rsidRDefault="00BE1066" w:rsidP="006A4B7C">
      <w:pPr>
        <w:spacing w:after="0" w:line="240" w:lineRule="auto"/>
      </w:pPr>
      <w:r>
        <w:separator/>
      </w:r>
    </w:p>
  </w:endnote>
  <w:endnote w:type="continuationSeparator" w:id="0">
    <w:p w:rsidR="00BE1066" w:rsidRDefault="00BE1066" w:rsidP="006A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3C" w:rsidRPr="008E2C82" w:rsidRDefault="00952E3C" w:rsidP="00952E3C">
    <w:pPr>
      <w:pStyle w:val="Footer"/>
      <w:tabs>
        <w:tab w:val="clear" w:pos="4680"/>
        <w:tab w:val="clear" w:pos="9360"/>
        <w:tab w:val="center" w:pos="6120"/>
        <w:tab w:val="right" w:pos="12960"/>
      </w:tabs>
    </w:pPr>
    <w:r w:rsidRPr="008E2C82">
      <w:t>Itron, Inc.</w:t>
    </w:r>
    <w:r w:rsidRPr="008E2C82">
      <w:tab/>
    </w:r>
    <w:r w:rsidR="008E2C82" w:rsidRPr="008E2C82">
      <w:t>A-7-</w:t>
    </w:r>
    <w:fldSimple w:instr=" PAGE   \* MERGEFORMAT ">
      <w:r w:rsidR="008E2C82">
        <w:rPr>
          <w:noProof/>
        </w:rPr>
        <w:t>2</w:t>
      </w:r>
    </w:fldSimple>
    <w:r w:rsidRPr="008E2C82">
      <w:tab/>
    </w:r>
    <w:fldSimple w:instr=" REF _Ref307583109 \h  \* MERGEFORMAT ">
      <w:r w:rsidR="008E2C82" w:rsidRPr="008E2C82">
        <w:rPr>
          <w:rFonts w:eastAsiaTheme="minorHAnsi"/>
        </w:rPr>
        <w:t>Appendix A-7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3C" w:rsidRPr="008E2C82" w:rsidRDefault="00952E3C" w:rsidP="00952E3C">
    <w:pPr>
      <w:pStyle w:val="Footer"/>
      <w:tabs>
        <w:tab w:val="clear" w:pos="4680"/>
        <w:tab w:val="clear" w:pos="9360"/>
        <w:tab w:val="center" w:pos="6120"/>
        <w:tab w:val="right" w:pos="12960"/>
      </w:tabs>
    </w:pPr>
    <w:r w:rsidRPr="008E2C82">
      <w:t>Itron, Inc.</w:t>
    </w:r>
    <w:r w:rsidRPr="008E2C82">
      <w:tab/>
    </w:r>
    <w:r w:rsidR="008E2C82" w:rsidRPr="008E2C82">
      <w:t>A-7-</w:t>
    </w:r>
    <w:fldSimple w:instr=" PAGE   \* MERGEFORMAT ">
      <w:r w:rsidR="008E2C82">
        <w:rPr>
          <w:noProof/>
        </w:rPr>
        <w:t>1</w:t>
      </w:r>
    </w:fldSimple>
    <w:r w:rsidRPr="008E2C82">
      <w:tab/>
    </w:r>
    <w:fldSimple w:instr=" REF _Ref307583109 \h  \* MERGEFORMAT ">
      <w:r w:rsidR="008E2C82" w:rsidRPr="008E2C82">
        <w:rPr>
          <w:rFonts w:eastAsiaTheme="minorHAnsi"/>
        </w:rPr>
        <w:t>Appendix A-7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066" w:rsidRDefault="00BE1066" w:rsidP="006A4B7C">
      <w:pPr>
        <w:spacing w:after="0" w:line="240" w:lineRule="auto"/>
      </w:pPr>
      <w:r>
        <w:separator/>
      </w:r>
    </w:p>
  </w:footnote>
  <w:footnote w:type="continuationSeparator" w:id="0">
    <w:p w:rsidR="00BE1066" w:rsidRDefault="00BE1066" w:rsidP="006A4B7C">
      <w:pPr>
        <w:spacing w:after="0" w:line="240" w:lineRule="auto"/>
      </w:pPr>
      <w:r>
        <w:continuationSeparator/>
      </w:r>
    </w:p>
  </w:footnote>
  <w:footnote w:id="1">
    <w:p w:rsidR="00BE1066" w:rsidRDefault="00BE106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70FBE">
        <w:t xml:space="preserve">Note that SDGE3023 does not include free-ridership estimates prior to the 2008 program year, and SCG3517 does not include free-ridership estimates for the 2008 program year. </w:t>
      </w:r>
    </w:p>
  </w:footnote>
  <w:footnote w:id="2">
    <w:p w:rsidR="00BE1066" w:rsidRDefault="00BE1066" w:rsidP="00226412">
      <w:pPr>
        <w:pStyle w:val="FootnoteText"/>
      </w:pPr>
      <w:r>
        <w:rPr>
          <w:rStyle w:val="FootnoteReference"/>
        </w:rPr>
        <w:footnoteRef/>
      </w:r>
      <w:r>
        <w:t xml:space="preserve"> The National ENERGY STAR Retailer Partners are required to annually provide sales data to the DOE for appliances. In 2006-2008 the National ENERGY STAR retailer partners reported the market share data for ENERGY STAR clothes washers (which is also inclusive of all the more efficient CEER tiers) was 38% in 2006, 42%, and 24%, respectively. Additionally, the 2007 Itron Market Share Report found that 45% of California CW sales were ENERGY STAR rated or higher. While this is not an estimate of free-ridership, it is an indication that sales of ENERGY STAR clothes washers were in the 24%-42% range throughout the U.S., (CADMUS, 2010)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3C" w:rsidRPr="00BC4FCB" w:rsidRDefault="00952E3C" w:rsidP="00BC4FCB">
    <w:pPr>
      <w:pStyle w:val="Header"/>
      <w:spacing w:after="480"/>
    </w:pPr>
    <w:r w:rsidRPr="00952E3C">
      <w:t>Database for Energy Efficiency Resources: 2011 Update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3C" w:rsidRDefault="00952E3C">
    <w:pPr>
      <w:pStyle w:val="Header"/>
    </w:pPr>
    <w:r w:rsidRPr="00952E3C">
      <w:t>Database for Energy Efficiency Resources: 2011 Update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0747692"/>
    <w:lvl w:ilvl="0">
      <w:start w:val="1"/>
      <w:numFmt w:val="bullet"/>
      <w:pStyle w:val="ListBullet2"/>
      <w:lvlText w:val="─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</w:abstractNum>
  <w:abstractNum w:abstractNumId="1">
    <w:nsid w:val="FFFFFFFB"/>
    <w:multiLevelType w:val="multilevel"/>
    <w:tmpl w:val="FEC0966A"/>
    <w:lvl w:ilvl="0">
      <w:start w:val="9"/>
      <w:numFmt w:val="decimal"/>
      <w:pStyle w:val="Heading1"/>
      <w:suff w:val="nothing"/>
      <w:lvlText w:val="%1"/>
      <w:lvlJc w:val="left"/>
      <w:pPr>
        <w:ind w:left="360" w:firstLine="0"/>
      </w:pPr>
      <w:rPr>
        <w:rFonts w:ascii="Arial" w:hAnsi="Arial" w:hint="default"/>
        <w:b/>
        <w:i/>
        <w:sz w:val="72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72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72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6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2">
    <w:nsid w:val="068A0446"/>
    <w:multiLevelType w:val="multilevel"/>
    <w:tmpl w:val="67F0C0C4"/>
    <w:numStyleLink w:val="CnAListBullets"/>
  </w:abstractNum>
  <w:abstractNum w:abstractNumId="3">
    <w:nsid w:val="2064477B"/>
    <w:multiLevelType w:val="multilevel"/>
    <w:tmpl w:val="67F0C0C4"/>
    <w:numStyleLink w:val="CnAListBullets"/>
  </w:abstractNum>
  <w:abstractNum w:abstractNumId="4">
    <w:nsid w:val="2A5707EA"/>
    <w:multiLevelType w:val="multilevel"/>
    <w:tmpl w:val="67F0C0C4"/>
    <w:styleLink w:val="CnAListBullets"/>
    <w:lvl w:ilvl="0">
      <w:start w:val="1"/>
      <w:numFmt w:val="bullet"/>
      <w:lvlText w:val=""/>
      <w:lvlJc w:val="left"/>
      <w:pPr>
        <w:ind w:left="720" w:hanging="432"/>
      </w:pPr>
      <w:rPr>
        <w:rFonts w:ascii="Wingdings" w:hAnsi="Wingdings" w:hint="default"/>
        <w:sz w:val="16"/>
      </w:rPr>
    </w:lvl>
    <w:lvl w:ilvl="1">
      <w:start w:val="1"/>
      <w:numFmt w:val="bullet"/>
      <w:lvlText w:val="─"/>
      <w:lvlJc w:val="left"/>
      <w:pPr>
        <w:ind w:left="1152" w:hanging="432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1584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2016" w:hanging="432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448" w:hanging="43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43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12" w:hanging="432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744" w:hanging="43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176" w:hanging="432"/>
      </w:pPr>
      <w:rPr>
        <w:rFonts w:ascii="Symbol" w:hAnsi="Symbol" w:hint="default"/>
      </w:rPr>
    </w:lvl>
  </w:abstractNum>
  <w:abstractNum w:abstractNumId="5">
    <w:nsid w:val="2CAD2F8A"/>
    <w:multiLevelType w:val="hybridMultilevel"/>
    <w:tmpl w:val="FA6A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D231E"/>
    <w:multiLevelType w:val="multilevel"/>
    <w:tmpl w:val="67F0C0C4"/>
    <w:numStyleLink w:val="CnAListBullets"/>
  </w:abstractNum>
  <w:abstractNum w:abstractNumId="7">
    <w:nsid w:val="3D3C5BCA"/>
    <w:multiLevelType w:val="hybridMultilevel"/>
    <w:tmpl w:val="5FD4A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02072E"/>
    <w:multiLevelType w:val="hybridMultilevel"/>
    <w:tmpl w:val="DCB6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2EAA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C0982"/>
    <w:multiLevelType w:val="multilevel"/>
    <w:tmpl w:val="04090021"/>
    <w:styleLink w:val="Itron"/>
    <w:lvl w:ilvl="0">
      <w:start w:val="1"/>
      <w:numFmt w:val="bullet"/>
      <w:lvlText w:val="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─"/>
      <w:lvlJc w:val="left"/>
      <w:pPr>
        <w:ind w:left="180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840" w:hanging="360"/>
      </w:pPr>
      <w:rPr>
        <w:rFonts w:ascii="Symbol" w:hAnsi="Symbol" w:hint="default"/>
      </w:rPr>
    </w:lvl>
  </w:abstractNum>
  <w:abstractNum w:abstractNumId="10">
    <w:nsid w:val="72F900C8"/>
    <w:multiLevelType w:val="hybridMultilevel"/>
    <w:tmpl w:val="6986C5B4"/>
    <w:lvl w:ilvl="0" w:tplc="32E4E4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1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"/>
  </w:num>
  <w:num w:numId="12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intFractionalCharacterWidth/>
  <w:embedSystemFonts/>
  <w:proofState w:spelling="clean" w:grammar="clean"/>
  <w:stylePaneFormatFilter w:val="3F01"/>
  <w:stylePaneSortMethod w:val="0004"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1A749A"/>
    <w:rsid w:val="0000112E"/>
    <w:rsid w:val="00015298"/>
    <w:rsid w:val="00017D18"/>
    <w:rsid w:val="00022F17"/>
    <w:rsid w:val="00040F8E"/>
    <w:rsid w:val="00046DFE"/>
    <w:rsid w:val="0006200B"/>
    <w:rsid w:val="0007312F"/>
    <w:rsid w:val="00075645"/>
    <w:rsid w:val="00077287"/>
    <w:rsid w:val="00096103"/>
    <w:rsid w:val="000A3032"/>
    <w:rsid w:val="000B2566"/>
    <w:rsid w:val="000B2BEB"/>
    <w:rsid w:val="000B7149"/>
    <w:rsid w:val="000B731D"/>
    <w:rsid w:val="000C6631"/>
    <w:rsid w:val="000D688E"/>
    <w:rsid w:val="000D7377"/>
    <w:rsid w:val="000E539F"/>
    <w:rsid w:val="000F41A3"/>
    <w:rsid w:val="000F6968"/>
    <w:rsid w:val="00107D79"/>
    <w:rsid w:val="0011319A"/>
    <w:rsid w:val="00123C38"/>
    <w:rsid w:val="00127A71"/>
    <w:rsid w:val="00150886"/>
    <w:rsid w:val="00157EA9"/>
    <w:rsid w:val="00166A00"/>
    <w:rsid w:val="001700C4"/>
    <w:rsid w:val="001712B1"/>
    <w:rsid w:val="00187749"/>
    <w:rsid w:val="00196B84"/>
    <w:rsid w:val="001A749A"/>
    <w:rsid w:val="001B177F"/>
    <w:rsid w:val="001C005E"/>
    <w:rsid w:val="001C3469"/>
    <w:rsid w:val="001E0716"/>
    <w:rsid w:val="001E1426"/>
    <w:rsid w:val="001E32AE"/>
    <w:rsid w:val="001E7BE2"/>
    <w:rsid w:val="001F4A8B"/>
    <w:rsid w:val="00205160"/>
    <w:rsid w:val="0021143B"/>
    <w:rsid w:val="00226412"/>
    <w:rsid w:val="0022644C"/>
    <w:rsid w:val="00230BF7"/>
    <w:rsid w:val="00231D0B"/>
    <w:rsid w:val="00231EB1"/>
    <w:rsid w:val="00244D0B"/>
    <w:rsid w:val="00246847"/>
    <w:rsid w:val="00247593"/>
    <w:rsid w:val="00260180"/>
    <w:rsid w:val="00261991"/>
    <w:rsid w:val="002663FA"/>
    <w:rsid w:val="00275841"/>
    <w:rsid w:val="00282424"/>
    <w:rsid w:val="00292F27"/>
    <w:rsid w:val="0029764D"/>
    <w:rsid w:val="002B07BD"/>
    <w:rsid w:val="002B7BCD"/>
    <w:rsid w:val="002C222B"/>
    <w:rsid w:val="002C7AFB"/>
    <w:rsid w:val="002D09B6"/>
    <w:rsid w:val="002F529A"/>
    <w:rsid w:val="00315C37"/>
    <w:rsid w:val="00317ED5"/>
    <w:rsid w:val="003240BC"/>
    <w:rsid w:val="003255E0"/>
    <w:rsid w:val="00346291"/>
    <w:rsid w:val="0038576E"/>
    <w:rsid w:val="003903AD"/>
    <w:rsid w:val="0039331A"/>
    <w:rsid w:val="0039545D"/>
    <w:rsid w:val="003A2080"/>
    <w:rsid w:val="003A3041"/>
    <w:rsid w:val="003B15C1"/>
    <w:rsid w:val="003B2EC3"/>
    <w:rsid w:val="003B462D"/>
    <w:rsid w:val="003D2B83"/>
    <w:rsid w:val="003E1694"/>
    <w:rsid w:val="003E6290"/>
    <w:rsid w:val="003E73B9"/>
    <w:rsid w:val="003F0681"/>
    <w:rsid w:val="003F0CBA"/>
    <w:rsid w:val="003F434D"/>
    <w:rsid w:val="003F505C"/>
    <w:rsid w:val="003F678D"/>
    <w:rsid w:val="003F72DE"/>
    <w:rsid w:val="00400DF8"/>
    <w:rsid w:val="00405AAB"/>
    <w:rsid w:val="00412B93"/>
    <w:rsid w:val="00415F0C"/>
    <w:rsid w:val="004207B8"/>
    <w:rsid w:val="00423113"/>
    <w:rsid w:val="00427454"/>
    <w:rsid w:val="0043551E"/>
    <w:rsid w:val="004359D1"/>
    <w:rsid w:val="004409B2"/>
    <w:rsid w:val="00454C44"/>
    <w:rsid w:val="00455856"/>
    <w:rsid w:val="00461511"/>
    <w:rsid w:val="00466E7A"/>
    <w:rsid w:val="00467A6A"/>
    <w:rsid w:val="0047130C"/>
    <w:rsid w:val="00472BE7"/>
    <w:rsid w:val="0047574E"/>
    <w:rsid w:val="0048121B"/>
    <w:rsid w:val="004819BB"/>
    <w:rsid w:val="00485477"/>
    <w:rsid w:val="00494E9C"/>
    <w:rsid w:val="0049528B"/>
    <w:rsid w:val="0049551B"/>
    <w:rsid w:val="0049581E"/>
    <w:rsid w:val="004B0FCC"/>
    <w:rsid w:val="004B46F8"/>
    <w:rsid w:val="004B5064"/>
    <w:rsid w:val="004C2A7B"/>
    <w:rsid w:val="004C7495"/>
    <w:rsid w:val="004E085B"/>
    <w:rsid w:val="004E0AD6"/>
    <w:rsid w:val="004E4176"/>
    <w:rsid w:val="004E43FD"/>
    <w:rsid w:val="004E6174"/>
    <w:rsid w:val="004F23B7"/>
    <w:rsid w:val="00504C46"/>
    <w:rsid w:val="00504CD6"/>
    <w:rsid w:val="00521A5F"/>
    <w:rsid w:val="00521A9C"/>
    <w:rsid w:val="00541DA8"/>
    <w:rsid w:val="00543D54"/>
    <w:rsid w:val="005528D8"/>
    <w:rsid w:val="00552B1A"/>
    <w:rsid w:val="00552C8F"/>
    <w:rsid w:val="00554F7F"/>
    <w:rsid w:val="0055720C"/>
    <w:rsid w:val="00557A79"/>
    <w:rsid w:val="00565425"/>
    <w:rsid w:val="00565D8A"/>
    <w:rsid w:val="00570FBE"/>
    <w:rsid w:val="00573DEC"/>
    <w:rsid w:val="00580BAD"/>
    <w:rsid w:val="00582001"/>
    <w:rsid w:val="00584BE1"/>
    <w:rsid w:val="00592C07"/>
    <w:rsid w:val="0059308D"/>
    <w:rsid w:val="005939CC"/>
    <w:rsid w:val="0059457A"/>
    <w:rsid w:val="005947E7"/>
    <w:rsid w:val="005973F4"/>
    <w:rsid w:val="005975C7"/>
    <w:rsid w:val="005A2463"/>
    <w:rsid w:val="005B6337"/>
    <w:rsid w:val="005D1945"/>
    <w:rsid w:val="005D4FC7"/>
    <w:rsid w:val="005D5666"/>
    <w:rsid w:val="005D596C"/>
    <w:rsid w:val="005F3293"/>
    <w:rsid w:val="005F445B"/>
    <w:rsid w:val="006013E7"/>
    <w:rsid w:val="00603EEC"/>
    <w:rsid w:val="00610378"/>
    <w:rsid w:val="00611579"/>
    <w:rsid w:val="00612739"/>
    <w:rsid w:val="00617F23"/>
    <w:rsid w:val="006232E8"/>
    <w:rsid w:val="006307ED"/>
    <w:rsid w:val="006464BD"/>
    <w:rsid w:val="00647E43"/>
    <w:rsid w:val="0065384F"/>
    <w:rsid w:val="0065580B"/>
    <w:rsid w:val="00657787"/>
    <w:rsid w:val="0068127B"/>
    <w:rsid w:val="00682A57"/>
    <w:rsid w:val="0068513E"/>
    <w:rsid w:val="006866F2"/>
    <w:rsid w:val="006A140C"/>
    <w:rsid w:val="006A4B7C"/>
    <w:rsid w:val="006A59C6"/>
    <w:rsid w:val="006A645F"/>
    <w:rsid w:val="006B7229"/>
    <w:rsid w:val="006C0097"/>
    <w:rsid w:val="006C080F"/>
    <w:rsid w:val="006C1D3A"/>
    <w:rsid w:val="006C4996"/>
    <w:rsid w:val="006C7226"/>
    <w:rsid w:val="006D122C"/>
    <w:rsid w:val="006D1496"/>
    <w:rsid w:val="006F4342"/>
    <w:rsid w:val="00706638"/>
    <w:rsid w:val="007113FC"/>
    <w:rsid w:val="00712744"/>
    <w:rsid w:val="007141BD"/>
    <w:rsid w:val="00715736"/>
    <w:rsid w:val="007316AA"/>
    <w:rsid w:val="00744C3D"/>
    <w:rsid w:val="00747AC1"/>
    <w:rsid w:val="00754D3E"/>
    <w:rsid w:val="007621B2"/>
    <w:rsid w:val="00763661"/>
    <w:rsid w:val="00775569"/>
    <w:rsid w:val="00775E7E"/>
    <w:rsid w:val="00777A7C"/>
    <w:rsid w:val="00781F98"/>
    <w:rsid w:val="00783EDA"/>
    <w:rsid w:val="00787920"/>
    <w:rsid w:val="00790A7E"/>
    <w:rsid w:val="00792877"/>
    <w:rsid w:val="00793B91"/>
    <w:rsid w:val="007A4597"/>
    <w:rsid w:val="007A64E0"/>
    <w:rsid w:val="007B1B87"/>
    <w:rsid w:val="007B4132"/>
    <w:rsid w:val="007C08F8"/>
    <w:rsid w:val="007C6F54"/>
    <w:rsid w:val="007D225F"/>
    <w:rsid w:val="007D4837"/>
    <w:rsid w:val="007D5D84"/>
    <w:rsid w:val="007F1285"/>
    <w:rsid w:val="007F13DC"/>
    <w:rsid w:val="00802076"/>
    <w:rsid w:val="0080485B"/>
    <w:rsid w:val="0081057C"/>
    <w:rsid w:val="008111FE"/>
    <w:rsid w:val="00811304"/>
    <w:rsid w:val="00817DEE"/>
    <w:rsid w:val="00821AAB"/>
    <w:rsid w:val="00822C8D"/>
    <w:rsid w:val="00826D05"/>
    <w:rsid w:val="008472D8"/>
    <w:rsid w:val="00853F73"/>
    <w:rsid w:val="00857BBF"/>
    <w:rsid w:val="008646A2"/>
    <w:rsid w:val="008711B4"/>
    <w:rsid w:val="00874650"/>
    <w:rsid w:val="00875025"/>
    <w:rsid w:val="00877628"/>
    <w:rsid w:val="008873D0"/>
    <w:rsid w:val="0089278A"/>
    <w:rsid w:val="0089429D"/>
    <w:rsid w:val="0089570F"/>
    <w:rsid w:val="008A271C"/>
    <w:rsid w:val="008B3200"/>
    <w:rsid w:val="008C3DA3"/>
    <w:rsid w:val="008D2C40"/>
    <w:rsid w:val="008D7823"/>
    <w:rsid w:val="008E2C82"/>
    <w:rsid w:val="008E2E63"/>
    <w:rsid w:val="008E45F8"/>
    <w:rsid w:val="008F37B3"/>
    <w:rsid w:val="008F6F18"/>
    <w:rsid w:val="009073D1"/>
    <w:rsid w:val="0091065E"/>
    <w:rsid w:val="009109EF"/>
    <w:rsid w:val="00910D49"/>
    <w:rsid w:val="009225DB"/>
    <w:rsid w:val="00925163"/>
    <w:rsid w:val="00952E3C"/>
    <w:rsid w:val="00954B78"/>
    <w:rsid w:val="009558AE"/>
    <w:rsid w:val="00960EAC"/>
    <w:rsid w:val="00990F68"/>
    <w:rsid w:val="009A2D4D"/>
    <w:rsid w:val="009A30EC"/>
    <w:rsid w:val="009A4721"/>
    <w:rsid w:val="009A749A"/>
    <w:rsid w:val="009B017E"/>
    <w:rsid w:val="009B0D60"/>
    <w:rsid w:val="009C3564"/>
    <w:rsid w:val="009D0319"/>
    <w:rsid w:val="009D290C"/>
    <w:rsid w:val="009D5A70"/>
    <w:rsid w:val="009E74F2"/>
    <w:rsid w:val="00A03829"/>
    <w:rsid w:val="00A04617"/>
    <w:rsid w:val="00A12B0C"/>
    <w:rsid w:val="00A12C80"/>
    <w:rsid w:val="00A240A6"/>
    <w:rsid w:val="00A27F2B"/>
    <w:rsid w:val="00A31B8F"/>
    <w:rsid w:val="00A365BC"/>
    <w:rsid w:val="00A42E6B"/>
    <w:rsid w:val="00A44886"/>
    <w:rsid w:val="00A44E26"/>
    <w:rsid w:val="00A50622"/>
    <w:rsid w:val="00A50CD4"/>
    <w:rsid w:val="00A715DD"/>
    <w:rsid w:val="00A83D47"/>
    <w:rsid w:val="00AA283D"/>
    <w:rsid w:val="00AA385B"/>
    <w:rsid w:val="00AA75FC"/>
    <w:rsid w:val="00AB4B96"/>
    <w:rsid w:val="00AB755E"/>
    <w:rsid w:val="00AC41F4"/>
    <w:rsid w:val="00AD0195"/>
    <w:rsid w:val="00AF01F7"/>
    <w:rsid w:val="00AF24A7"/>
    <w:rsid w:val="00AF77F2"/>
    <w:rsid w:val="00B033DB"/>
    <w:rsid w:val="00B05AD1"/>
    <w:rsid w:val="00B21A11"/>
    <w:rsid w:val="00B258AF"/>
    <w:rsid w:val="00B30FAF"/>
    <w:rsid w:val="00B32635"/>
    <w:rsid w:val="00B332C5"/>
    <w:rsid w:val="00B35DD3"/>
    <w:rsid w:val="00B370AF"/>
    <w:rsid w:val="00B46793"/>
    <w:rsid w:val="00B47148"/>
    <w:rsid w:val="00B47BCF"/>
    <w:rsid w:val="00B50E5D"/>
    <w:rsid w:val="00B543DD"/>
    <w:rsid w:val="00B66B8D"/>
    <w:rsid w:val="00B73A9F"/>
    <w:rsid w:val="00B75DB8"/>
    <w:rsid w:val="00B821A0"/>
    <w:rsid w:val="00BA106C"/>
    <w:rsid w:val="00BA141B"/>
    <w:rsid w:val="00BB1163"/>
    <w:rsid w:val="00BC4FCB"/>
    <w:rsid w:val="00BC609A"/>
    <w:rsid w:val="00BD0FA0"/>
    <w:rsid w:val="00BE1066"/>
    <w:rsid w:val="00BE68D1"/>
    <w:rsid w:val="00BF6708"/>
    <w:rsid w:val="00C00994"/>
    <w:rsid w:val="00C030F3"/>
    <w:rsid w:val="00C07173"/>
    <w:rsid w:val="00C1378C"/>
    <w:rsid w:val="00C3473A"/>
    <w:rsid w:val="00C40245"/>
    <w:rsid w:val="00C47AFD"/>
    <w:rsid w:val="00C6385E"/>
    <w:rsid w:val="00C73DB7"/>
    <w:rsid w:val="00C764C7"/>
    <w:rsid w:val="00C8408E"/>
    <w:rsid w:val="00C85E22"/>
    <w:rsid w:val="00C87E1B"/>
    <w:rsid w:val="00C90C1B"/>
    <w:rsid w:val="00C96282"/>
    <w:rsid w:val="00CA4418"/>
    <w:rsid w:val="00CA4CA6"/>
    <w:rsid w:val="00CA75C7"/>
    <w:rsid w:val="00CB5444"/>
    <w:rsid w:val="00CB7E1A"/>
    <w:rsid w:val="00CC1E01"/>
    <w:rsid w:val="00CC7063"/>
    <w:rsid w:val="00CD2573"/>
    <w:rsid w:val="00CD4193"/>
    <w:rsid w:val="00CE79E7"/>
    <w:rsid w:val="00CF4860"/>
    <w:rsid w:val="00D03485"/>
    <w:rsid w:val="00D066A8"/>
    <w:rsid w:val="00D06F09"/>
    <w:rsid w:val="00D112D8"/>
    <w:rsid w:val="00D21F89"/>
    <w:rsid w:val="00D2202B"/>
    <w:rsid w:val="00D34DAB"/>
    <w:rsid w:val="00D51169"/>
    <w:rsid w:val="00D5135F"/>
    <w:rsid w:val="00D65A20"/>
    <w:rsid w:val="00D72BF2"/>
    <w:rsid w:val="00D8188F"/>
    <w:rsid w:val="00D833E2"/>
    <w:rsid w:val="00D842FF"/>
    <w:rsid w:val="00DA04B7"/>
    <w:rsid w:val="00DB3C51"/>
    <w:rsid w:val="00DC1564"/>
    <w:rsid w:val="00DC1DD9"/>
    <w:rsid w:val="00DC6751"/>
    <w:rsid w:val="00DE632E"/>
    <w:rsid w:val="00E11040"/>
    <w:rsid w:val="00E158E9"/>
    <w:rsid w:val="00E251FF"/>
    <w:rsid w:val="00E37D92"/>
    <w:rsid w:val="00E450CF"/>
    <w:rsid w:val="00E560B6"/>
    <w:rsid w:val="00E67904"/>
    <w:rsid w:val="00E86B02"/>
    <w:rsid w:val="00E86B64"/>
    <w:rsid w:val="00E8798A"/>
    <w:rsid w:val="00EA4F68"/>
    <w:rsid w:val="00EB2094"/>
    <w:rsid w:val="00EB5E29"/>
    <w:rsid w:val="00EB6F79"/>
    <w:rsid w:val="00EC7103"/>
    <w:rsid w:val="00ED1F77"/>
    <w:rsid w:val="00ED4298"/>
    <w:rsid w:val="00ED63DE"/>
    <w:rsid w:val="00ED70B2"/>
    <w:rsid w:val="00EE4459"/>
    <w:rsid w:val="00F126C3"/>
    <w:rsid w:val="00F21DB5"/>
    <w:rsid w:val="00F24933"/>
    <w:rsid w:val="00F30170"/>
    <w:rsid w:val="00F34687"/>
    <w:rsid w:val="00F3759B"/>
    <w:rsid w:val="00F4292B"/>
    <w:rsid w:val="00F42A2D"/>
    <w:rsid w:val="00F5676A"/>
    <w:rsid w:val="00F60F5F"/>
    <w:rsid w:val="00F634D6"/>
    <w:rsid w:val="00F63D68"/>
    <w:rsid w:val="00F70106"/>
    <w:rsid w:val="00F8041D"/>
    <w:rsid w:val="00F84A64"/>
    <w:rsid w:val="00F87DBB"/>
    <w:rsid w:val="00F918B5"/>
    <w:rsid w:val="00F9623A"/>
    <w:rsid w:val="00FC718E"/>
    <w:rsid w:val="00FD68B8"/>
    <w:rsid w:val="00FF40DD"/>
    <w:rsid w:val="00FF5474"/>
    <w:rsid w:val="00FF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>
      <w:pPr>
        <w:spacing w:after="130" w:line="320" w:lineRule="atLeast"/>
        <w:ind w:left="720" w:hanging="432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749A"/>
    <w:pPr>
      <w:spacing w:after="280"/>
      <w:ind w:left="0" w:firstLine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E632E"/>
    <w:pPr>
      <w:keepNext/>
      <w:numPr>
        <w:numId w:val="1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D2202B"/>
    <w:pPr>
      <w:keepNext/>
      <w:numPr>
        <w:ilvl w:val="1"/>
        <w:numId w:val="1"/>
      </w:numPr>
      <w:spacing w:before="480" w:after="180"/>
      <w:ind w:left="0"/>
      <w:jc w:val="left"/>
      <w:outlineLvl w:val="1"/>
    </w:pPr>
    <w:rPr>
      <w:rFonts w:ascii="Arial" w:eastAsiaTheme="minorHAnsi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AB4B96"/>
    <w:pPr>
      <w:keepNext/>
      <w:numPr>
        <w:ilvl w:val="2"/>
        <w:numId w:val="1"/>
      </w:numPr>
      <w:spacing w:after="180" w:line="240" w:lineRule="auto"/>
      <w:ind w:left="0"/>
      <w:jc w:val="left"/>
      <w:outlineLvl w:val="2"/>
    </w:pPr>
    <w:rPr>
      <w:rFonts w:ascii="Arial" w:eastAsiaTheme="minorHAnsi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DE632E"/>
    <w:pPr>
      <w:keepNext/>
      <w:keepLines/>
      <w:numPr>
        <w:ilvl w:val="3"/>
        <w:numId w:val="1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DE632E"/>
    <w:pPr>
      <w:keepNext/>
      <w:keepLines/>
      <w:numPr>
        <w:ilvl w:val="4"/>
        <w:numId w:val="1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D842FF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D842FF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DE632E"/>
    <w:pPr>
      <w:numPr>
        <w:ilvl w:val="7"/>
        <w:numId w:val="1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E632E"/>
    <w:pPr>
      <w:numPr>
        <w:ilvl w:val="8"/>
        <w:numId w:val="1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J">
    <w:name w:val="pJ"/>
    <w:next w:val="Normal"/>
    <w:rsid w:val="00D842FF"/>
    <w:rPr>
      <w:rFonts w:ascii="Times New Roman" w:hAnsi="Times New Roman"/>
      <w:sz w:val="24"/>
      <w:szCs w:val="24"/>
    </w:rPr>
  </w:style>
  <w:style w:type="paragraph" w:customStyle="1" w:styleId="pB">
    <w:name w:val="pB"/>
    <w:basedOn w:val="Normal"/>
    <w:rsid w:val="0011319A"/>
    <w:pPr>
      <w:tabs>
        <w:tab w:val="left" w:pos="720"/>
        <w:tab w:val="left" w:pos="1080"/>
      </w:tabs>
      <w:ind w:right="288"/>
    </w:pPr>
  </w:style>
  <w:style w:type="paragraph" w:customStyle="1" w:styleId="pF">
    <w:name w:val="pF"/>
    <w:rsid w:val="0011319A"/>
    <w:rPr>
      <w:rFonts w:ascii="Times New Roman" w:hAnsi="Times New Roman"/>
      <w:sz w:val="24"/>
      <w:szCs w:val="24"/>
    </w:rPr>
  </w:style>
  <w:style w:type="paragraph" w:customStyle="1" w:styleId="pS">
    <w:name w:val="pS"/>
    <w:rsid w:val="00D842FF"/>
    <w:pPr>
      <w:tabs>
        <w:tab w:val="left" w:pos="720"/>
        <w:tab w:val="left" w:pos="1080"/>
      </w:tabs>
      <w:ind w:right="288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D842FF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D842FF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rsid w:val="009D031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rsid w:val="0047130C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uiPriority w:val="99"/>
    <w:rsid w:val="00D842FF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uiPriority w:val="99"/>
    <w:rsid w:val="00D2202B"/>
    <w:pPr>
      <w:tabs>
        <w:tab w:val="left" w:pos="288"/>
      </w:tabs>
      <w:spacing w:after="60" w:line="240" w:lineRule="atLeast"/>
      <w:ind w:left="288" w:hanging="288"/>
    </w:pPr>
    <w:rPr>
      <w:sz w:val="20"/>
      <w:szCs w:val="20"/>
    </w:rPr>
  </w:style>
  <w:style w:type="paragraph" w:styleId="Index1">
    <w:name w:val="index 1"/>
    <w:basedOn w:val="Normal"/>
    <w:next w:val="Normal"/>
    <w:rsid w:val="00D842FF"/>
    <w:rPr>
      <w:rFonts w:ascii="Tms Rmn" w:hAnsi="Tms Rmn"/>
    </w:rPr>
  </w:style>
  <w:style w:type="paragraph" w:styleId="Index2">
    <w:name w:val="index 2"/>
    <w:basedOn w:val="Normal"/>
    <w:next w:val="Normal"/>
    <w:rsid w:val="00D842FF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D842FF"/>
    <w:rPr>
      <w:rFonts w:ascii="Tms Rmn" w:hAnsi="Tms Rmn"/>
    </w:rPr>
  </w:style>
  <w:style w:type="paragraph" w:styleId="Index4">
    <w:name w:val="index 4"/>
    <w:basedOn w:val="Normal"/>
    <w:next w:val="Normal"/>
    <w:rsid w:val="00D842FF"/>
    <w:rPr>
      <w:rFonts w:ascii="Tms Rmn" w:hAnsi="Tms Rmn"/>
    </w:rPr>
  </w:style>
  <w:style w:type="paragraph" w:styleId="Index5">
    <w:name w:val="index 5"/>
    <w:basedOn w:val="Normal"/>
    <w:next w:val="Normal"/>
    <w:rsid w:val="00D842FF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D842FF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D842FF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D842FF"/>
    <w:rPr>
      <w:rFonts w:ascii="Tms Rmn" w:hAnsi="Tms Rmn"/>
    </w:rPr>
  </w:style>
  <w:style w:type="character" w:styleId="LineNumber">
    <w:name w:val="line number"/>
    <w:basedOn w:val="DefaultParagraphFont"/>
    <w:rsid w:val="00D842FF"/>
  </w:style>
  <w:style w:type="paragraph" w:customStyle="1" w:styleId="pA">
    <w:name w:val="pA"/>
    <w:rsid w:val="0011319A"/>
    <w:pPr>
      <w:spacing w:line="130" w:lineRule="exact"/>
    </w:pPr>
    <w:rPr>
      <w:rFonts w:ascii="Times New Roman" w:hAnsi="Times New Roman"/>
      <w:sz w:val="24"/>
      <w:szCs w:val="24"/>
    </w:rPr>
  </w:style>
  <w:style w:type="paragraph" w:customStyle="1" w:styleId="pG">
    <w:name w:val="pG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D842FF"/>
    <w:pPr>
      <w:spacing w:line="240" w:lineRule="atLeast"/>
    </w:pPr>
  </w:style>
  <w:style w:type="paragraph" w:customStyle="1" w:styleId="TitlePage">
    <w:name w:val="Title Page"/>
    <w:basedOn w:val="Normal"/>
    <w:rsid w:val="008E2E63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E37D92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E37D92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E37D92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D842FF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D842FF"/>
  </w:style>
  <w:style w:type="paragraph" w:styleId="EnvelopeAddress">
    <w:name w:val="envelope address"/>
    <w:basedOn w:val="Normal"/>
    <w:rsid w:val="00D842FF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Large">
    <w:name w:val="Large"/>
    <w:basedOn w:val="pF"/>
    <w:next w:val="pF"/>
    <w:rsid w:val="00D842FF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styleId="ListBullet">
    <w:name w:val="List Bullet"/>
    <w:basedOn w:val="Normal"/>
    <w:rsid w:val="00D842FF"/>
    <w:pPr>
      <w:ind w:left="360"/>
    </w:pPr>
  </w:style>
  <w:style w:type="paragraph" w:customStyle="1" w:styleId="pA2">
    <w:name w:val="pA2"/>
    <w:basedOn w:val="pA"/>
    <w:next w:val="pA"/>
    <w:rsid w:val="0011319A"/>
  </w:style>
  <w:style w:type="paragraph" w:styleId="Caption">
    <w:name w:val="caption"/>
    <w:basedOn w:val="Normal"/>
    <w:next w:val="Normal"/>
    <w:autoRedefine/>
    <w:qFormat/>
    <w:rsid w:val="009D0319"/>
    <w:pPr>
      <w:keepNext/>
      <w:keepLines/>
      <w:spacing w:before="120" w:after="120"/>
      <w:jc w:val="left"/>
    </w:pPr>
    <w:rPr>
      <w:rFonts w:ascii="Arial" w:hAnsi="Arial" w:cs="Arial"/>
      <w:b/>
      <w:bCs/>
    </w:rPr>
  </w:style>
  <w:style w:type="paragraph" w:customStyle="1" w:styleId="resumeparagraph">
    <w:name w:val="resume paragraph"/>
    <w:rsid w:val="00D842FF"/>
    <w:pPr>
      <w:spacing w:before="100" w:line="240" w:lineRule="exact"/>
      <w:ind w:hanging="288"/>
    </w:pPr>
    <w:rPr>
      <w:rFonts w:ascii="Times New Roman" w:hAnsi="Times New Roman"/>
      <w:sz w:val="24"/>
      <w:szCs w:val="24"/>
    </w:rPr>
  </w:style>
  <w:style w:type="paragraph" w:customStyle="1" w:styleId="Headline">
    <w:name w:val="Headline"/>
    <w:basedOn w:val="Normal"/>
    <w:rsid w:val="00D842FF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For"/>
    <w:rsid w:val="00D842FF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D842FF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For">
    <w:name w:val="For"/>
    <w:basedOn w:val="Normal"/>
    <w:next w:val="Contact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Contact">
    <w:name w:val="Contact"/>
    <w:basedOn w:val="Normal"/>
    <w:next w:val="summary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question">
    <w:name w:val="question"/>
    <w:basedOn w:val="pF"/>
    <w:rsid w:val="00D842FF"/>
    <w:pPr>
      <w:ind w:hanging="720"/>
    </w:pPr>
  </w:style>
  <w:style w:type="paragraph" w:styleId="TOC6">
    <w:name w:val="toc 6"/>
    <w:basedOn w:val="Normal"/>
    <w:next w:val="Normal"/>
    <w:rsid w:val="00D842FF"/>
    <w:pPr>
      <w:tabs>
        <w:tab w:val="right" w:leader="dot" w:pos="9000"/>
      </w:tabs>
      <w:spacing w:line="240" w:lineRule="auto"/>
      <w:ind w:left="1200"/>
    </w:pPr>
  </w:style>
  <w:style w:type="paragraph" w:customStyle="1" w:styleId="Variabledefinition">
    <w:name w:val="Variable definition"/>
    <w:basedOn w:val="pD"/>
    <w:rsid w:val="00D842FF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8E2E63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F70106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styleId="BalloonText">
    <w:name w:val="Balloon Text"/>
    <w:basedOn w:val="Normal"/>
    <w:rsid w:val="00D842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842F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842FF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D842FF"/>
    <w:rPr>
      <w:b/>
      <w:bCs/>
    </w:rPr>
  </w:style>
  <w:style w:type="paragraph" w:styleId="DocumentMap">
    <w:name w:val="Document Map"/>
    <w:basedOn w:val="Normal"/>
    <w:rsid w:val="00D842FF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D842FF"/>
  </w:style>
  <w:style w:type="table" w:styleId="TableGrid">
    <w:name w:val="Table Grid"/>
    <w:basedOn w:val="TableNormal"/>
    <w:uiPriority w:val="59"/>
    <w:rsid w:val="00D842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E251FF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D842FF"/>
    <w:rPr>
      <w:color w:val="0000FF"/>
      <w:u w:val="single"/>
    </w:rPr>
  </w:style>
  <w:style w:type="paragraph" w:customStyle="1" w:styleId="CEUSIndent5">
    <w:name w:val="CEUS_Indent5"/>
    <w:basedOn w:val="pE"/>
    <w:rsid w:val="00D842FF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D842FF"/>
    <w:pPr>
      <w:numPr>
        <w:numId w:val="4"/>
      </w:numPr>
      <w:contextualSpacing/>
    </w:pPr>
  </w:style>
  <w:style w:type="numbering" w:customStyle="1" w:styleId="Itron">
    <w:name w:val="Itron"/>
    <w:uiPriority w:val="99"/>
    <w:rsid w:val="008F6F18"/>
    <w:pPr>
      <w:numPr>
        <w:numId w:val="2"/>
      </w:numPr>
    </w:pPr>
  </w:style>
  <w:style w:type="numbering" w:customStyle="1" w:styleId="CnAListBullets">
    <w:name w:val="CnAListBullets"/>
    <w:uiPriority w:val="99"/>
    <w:rsid w:val="00D842FF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D842FF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D842FF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D842FF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D842FF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D842FF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DE632E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DE632E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573DEC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2202B"/>
    <w:rPr>
      <w:rFonts w:ascii="Times New Roman" w:hAnsi="Times New Roman"/>
    </w:rPr>
  </w:style>
  <w:style w:type="character" w:customStyle="1" w:styleId="tablefootnoteChar">
    <w:name w:val="table footnote Char"/>
    <w:basedOn w:val="DefaultParagraphFont"/>
    <w:link w:val="tablefootnote"/>
    <w:rsid w:val="009D031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682A57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682A57"/>
    <w:rPr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E251FF"/>
    <w:rPr>
      <w:rFonts w:ascii="Arial" w:hAnsi="Arial"/>
      <w:b/>
      <w:color w:val="17365D"/>
      <w:spacing w:val="5"/>
      <w:kern w:val="28"/>
      <w:sz w:val="40"/>
      <w:szCs w:val="52"/>
    </w:rPr>
  </w:style>
  <w:style w:type="paragraph" w:customStyle="1" w:styleId="TitleAdd">
    <w:name w:val="TitleAdd"/>
    <w:basedOn w:val="Title"/>
    <w:link w:val="TitleAddChar"/>
    <w:autoRedefine/>
    <w:qFormat/>
    <w:rsid w:val="00682A57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682A57"/>
    <w:rPr>
      <w:sz w:val="24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749A"/>
    <w:rPr>
      <w:rFonts w:ascii="Times New Roman" w:hAnsi="Times New Roman"/>
    </w:rPr>
  </w:style>
  <w:style w:type="table" w:customStyle="1" w:styleId="ItronBasic">
    <w:name w:val="ItronBasic"/>
    <w:basedOn w:val="TableNormal"/>
    <w:uiPriority w:val="99"/>
    <w:qFormat/>
    <w:rsid w:val="001A749A"/>
    <w:pPr>
      <w:spacing w:after="0" w:line="240" w:lineRule="auto"/>
      <w:ind w:left="0" w:firstLine="0"/>
      <w:jc w:val="left"/>
    </w:p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 w:themeFill="background1" w:themeFillShade="D9"/>
      </w:tcPr>
    </w:tblStylePr>
  </w:style>
  <w:style w:type="table" w:styleId="TableProfessional">
    <w:name w:val="Table Professional"/>
    <w:basedOn w:val="TableNormal"/>
    <w:rsid w:val="001A749A"/>
    <w:pPr>
      <w:spacing w:after="280"/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rsid w:val="001A749A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Theme="minorHAnsi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0B71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37E3A-B7DA-453B-B7B8-91A0D2CD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Itron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Galawish, Elsia</dc:creator>
  <cp:lastModifiedBy>S L Harris</cp:lastModifiedBy>
  <cp:revision>4</cp:revision>
  <cp:lastPrinted>2011-10-18T20:43:00Z</cp:lastPrinted>
  <dcterms:created xsi:type="dcterms:W3CDTF">2011-10-28T18:22:00Z</dcterms:created>
  <dcterms:modified xsi:type="dcterms:W3CDTF">2011-10-28T23:37:00Z</dcterms:modified>
</cp:coreProperties>
</file>